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FA41" w14:textId="49A4F920" w:rsidR="00FF7237" w:rsidRPr="000C7445" w:rsidRDefault="000672D9" w:rsidP="000672D9">
      <w:pPr>
        <w:pStyle w:val="Intestazione"/>
        <w:tabs>
          <w:tab w:val="clear" w:pos="4536"/>
          <w:tab w:val="clear" w:pos="9072"/>
        </w:tabs>
        <w:jc w:val="right"/>
        <w:rPr>
          <w:rFonts w:cs="Arial"/>
          <w:lang w:val="ru-RU"/>
        </w:rPr>
      </w:pPr>
      <w:r>
        <w:rPr>
          <w:noProof/>
          <w:lang w:val="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7A0F7" wp14:editId="77C3DEF8">
                <wp:simplePos x="0" y="0"/>
                <wp:positionH relativeFrom="column">
                  <wp:posOffset>-211666</wp:posOffset>
                </wp:positionH>
                <wp:positionV relativeFrom="paragraph">
                  <wp:posOffset>-169333</wp:posOffset>
                </wp:positionV>
                <wp:extent cx="1866900" cy="571500"/>
                <wp:effectExtent l="0" t="0" r="12700" b="12700"/>
                <wp:wrapNone/>
                <wp:docPr id="2" name="CuadroText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0002BC-015A-894D-A004-6B7EAA58A6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D703F" w14:textId="77777777" w:rsidR="000672D9" w:rsidRDefault="000672D9" w:rsidP="000672D9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ru"/>
                              </w:rPr>
                              <w:t>ЛОГОТИП ОРГАНИЗАЦИИ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3A57A0F7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left:0;text-align:left;margin-left:-16.65pt;margin-top:-13.35pt;width:147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" fillcolor="white [3212]" strokecolor="#7f7f7f [1601]">
                <v:textbox>
                  <w:txbxContent>
                    <w:p w14:paraId="6BBD703F" w14:textId="77777777" w:rsidR="000672D9" w:rsidRDefault="000672D9" w:rsidP="000672D9">
                      <w:pPr>
                        <w:jc w:val="center"/>
                        <w:rPr>
                          <w:rFonts w:cs="Arial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C00000"/>
                          <w:sz w:val="32"/>
                          <w:szCs w:val="32"/>
                          <w:lang w:val="ru"/>
                        </w:rPr>
                        <w:t>ЛОГОТИП ОРГАНИЗАЦИИ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Toc75856777"/>
      <w:bookmarkStart w:id="1" w:name="_Toc389571055"/>
      <w:r>
        <w:rPr>
          <w:b/>
          <w:bCs/>
          <w:sz w:val="52"/>
          <w:szCs w:val="52"/>
          <w:lang w:val="ru"/>
        </w:rPr>
        <w:t>ОТЧЕТ О ТЕНДЕРЕ</w:t>
      </w:r>
      <w:bookmarkEnd w:id="0"/>
      <w:bookmarkEnd w:id="1"/>
    </w:p>
    <w:p w14:paraId="696DFDC3" w14:textId="42310534" w:rsidR="00BD5A70" w:rsidRPr="000C7445" w:rsidRDefault="00BD5A70" w:rsidP="00BD5A70">
      <w:pPr>
        <w:jc w:val="center"/>
        <w:rPr>
          <w:rFonts w:cs="Arial"/>
          <w:b/>
          <w:bCs/>
          <w:sz w:val="36"/>
          <w:szCs w:val="36"/>
          <w:lang w:val="ru-RU"/>
        </w:rPr>
      </w:pPr>
      <w:bookmarkStart w:id="2" w:name="_Toc389571056"/>
      <w:bookmarkStart w:id="3" w:name="_Toc75856778"/>
    </w:p>
    <w:p w14:paraId="6DA16F82" w14:textId="77777777" w:rsidR="009731BE" w:rsidRPr="000C7445" w:rsidRDefault="009731BE" w:rsidP="00BD5A70">
      <w:pPr>
        <w:jc w:val="center"/>
        <w:rPr>
          <w:rFonts w:cs="Arial"/>
          <w:b/>
          <w:bCs/>
          <w:sz w:val="36"/>
          <w:szCs w:val="36"/>
          <w:lang w:val="ru-RU"/>
        </w:rPr>
      </w:pPr>
    </w:p>
    <w:p w14:paraId="31D2791D" w14:textId="5F85A2C2" w:rsidR="00FF7237" w:rsidRPr="000C7445" w:rsidRDefault="00FF7237" w:rsidP="00BD5A70">
      <w:pPr>
        <w:jc w:val="center"/>
        <w:rPr>
          <w:rFonts w:cs="Arial"/>
          <w:b/>
          <w:bCs/>
          <w:sz w:val="36"/>
          <w:szCs w:val="36"/>
          <w:lang w:val="ru-RU"/>
        </w:rPr>
      </w:pPr>
      <w:r>
        <w:rPr>
          <w:rFonts w:cs="Arial"/>
          <w:b/>
          <w:bCs/>
          <w:sz w:val="36"/>
          <w:szCs w:val="36"/>
          <w:lang w:val="ru"/>
        </w:rPr>
        <w:t>Наименование договора</w:t>
      </w:r>
      <w:bookmarkEnd w:id="2"/>
      <w:bookmarkEnd w:id="3"/>
    </w:p>
    <w:p w14:paraId="727D1DC8" w14:textId="61E284D8" w:rsidR="00CB1BC7" w:rsidRPr="000C7445" w:rsidRDefault="00FF7237" w:rsidP="00BD5A70">
      <w:pPr>
        <w:jc w:val="center"/>
        <w:rPr>
          <w:rFonts w:cs="Arial"/>
          <w:b/>
          <w:bCs/>
          <w:sz w:val="36"/>
          <w:szCs w:val="36"/>
          <w:lang w:val="ru-RU"/>
        </w:rPr>
      </w:pPr>
      <w:bookmarkStart w:id="4" w:name="_Toc75856779"/>
      <w:r>
        <w:rPr>
          <w:rFonts w:cs="Arial"/>
          <w:b/>
          <w:bCs/>
          <w:sz w:val="36"/>
          <w:szCs w:val="36"/>
          <w:lang w:val="ru"/>
        </w:rPr>
        <w:t>Ссылка на публикацию</w:t>
      </w:r>
      <w:bookmarkEnd w:id="4"/>
    </w:p>
    <w:p w14:paraId="4A0F4496" w14:textId="77777777" w:rsidR="000672D9" w:rsidRPr="000C7445" w:rsidRDefault="000672D9" w:rsidP="00BD5A70">
      <w:pPr>
        <w:jc w:val="center"/>
        <w:rPr>
          <w:rFonts w:cs="Arial"/>
          <w:b/>
          <w:bCs/>
          <w:sz w:val="36"/>
          <w:szCs w:val="36"/>
          <w:lang w:val="ru-RU"/>
        </w:rPr>
      </w:pPr>
    </w:p>
    <w:p w14:paraId="35A46908" w14:textId="6DBD3A11" w:rsidR="000C7445" w:rsidRDefault="000672D9">
      <w:pPr>
        <w:pStyle w:val="Sommario3"/>
        <w:tabs>
          <w:tab w:val="left" w:pos="11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 w:eastAsia="zh-CN"/>
        </w:rPr>
      </w:pPr>
      <w:r>
        <w:rPr>
          <w:rFonts w:eastAsiaTheme="minorEastAsia" w:cs="Arial"/>
          <w:noProof/>
          <w:lang w:val="ru"/>
        </w:rPr>
        <w:fldChar w:fldCharType="begin"/>
      </w:r>
      <w:r>
        <w:rPr>
          <w:rFonts w:eastAsiaTheme="minorEastAsia" w:cs="Arial"/>
          <w:noProof/>
        </w:rPr>
        <w:instrText xml:space="preserve"> TOC \o "1-3" \h \z \u </w:instrText>
      </w:r>
      <w:r>
        <w:rPr>
          <w:rFonts w:eastAsiaTheme="minorEastAsia" w:cs="Arial"/>
          <w:noProof/>
        </w:rPr>
        <w:fldChar w:fldCharType="separate"/>
      </w:r>
      <w:hyperlink w:anchor="_Toc130204413" w:history="1">
        <w:r w:rsidR="000C7445" w:rsidRPr="00606AD2">
          <w:rPr>
            <w:rStyle w:val="Collegamentoipertestuale"/>
            <w:noProof/>
          </w:rPr>
          <w:t>1.</w:t>
        </w:r>
        <w:r w:rsidR="000C7445">
          <w:rPr>
            <w:rFonts w:asciiTheme="minorHAnsi" w:eastAsiaTheme="minorEastAsia" w:hAnsiTheme="minorHAnsi" w:cstheme="minorBidi"/>
            <w:noProof/>
            <w:sz w:val="22"/>
            <w:szCs w:val="22"/>
            <w:lang w:val="it-IT" w:eastAsia="zh-CN"/>
          </w:rPr>
          <w:tab/>
        </w:r>
        <w:r w:rsidR="000C7445" w:rsidRPr="00606AD2">
          <w:rPr>
            <w:rStyle w:val="Collegamentoipertestuale"/>
            <w:noProof/>
            <w:lang w:val="ru"/>
          </w:rPr>
          <w:t>Контекст</w:t>
        </w:r>
        <w:r w:rsidR="000C7445">
          <w:rPr>
            <w:noProof/>
            <w:webHidden/>
          </w:rPr>
          <w:tab/>
        </w:r>
        <w:r w:rsidR="000C7445">
          <w:rPr>
            <w:noProof/>
            <w:webHidden/>
          </w:rPr>
          <w:fldChar w:fldCharType="begin"/>
        </w:r>
        <w:r w:rsidR="000C7445">
          <w:rPr>
            <w:noProof/>
            <w:webHidden/>
          </w:rPr>
          <w:instrText xml:space="preserve"> PAGEREF _Toc130204413 \h </w:instrText>
        </w:r>
        <w:r w:rsidR="000C7445">
          <w:rPr>
            <w:noProof/>
            <w:webHidden/>
          </w:rPr>
        </w:r>
        <w:r w:rsidR="000C7445">
          <w:rPr>
            <w:noProof/>
            <w:webHidden/>
          </w:rPr>
          <w:fldChar w:fldCharType="separate"/>
        </w:r>
        <w:r w:rsidR="000C7445">
          <w:rPr>
            <w:noProof/>
            <w:webHidden/>
          </w:rPr>
          <w:t>1</w:t>
        </w:r>
        <w:r w:rsidR="000C7445">
          <w:rPr>
            <w:noProof/>
            <w:webHidden/>
          </w:rPr>
          <w:fldChar w:fldCharType="end"/>
        </w:r>
      </w:hyperlink>
    </w:p>
    <w:p w14:paraId="7F5E17F7" w14:textId="5D99FF22" w:rsidR="000C7445" w:rsidRDefault="000C7445">
      <w:pPr>
        <w:pStyle w:val="Sommario3"/>
        <w:tabs>
          <w:tab w:val="left" w:pos="11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 w:eastAsia="zh-CN"/>
        </w:rPr>
      </w:pPr>
      <w:hyperlink w:anchor="_Toc130204414" w:history="1">
        <w:r w:rsidRPr="00606AD2">
          <w:rPr>
            <w:rStyle w:val="Collegamentoipertestuale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it-IT" w:eastAsia="zh-CN"/>
          </w:rPr>
          <w:tab/>
        </w:r>
        <w:r w:rsidRPr="00606AD2">
          <w:rPr>
            <w:rStyle w:val="Collegamentoipertestuale"/>
            <w:noProof/>
            <w:lang w:val="ru"/>
          </w:rPr>
          <w:t>Комитет по оценке тендерных предложений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_Toc130204414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7CA6A8C" w14:textId="2B0FB121" w:rsidR="000C7445" w:rsidRDefault="000C7445">
      <w:pPr>
        <w:pStyle w:val="Sommario3"/>
        <w:tabs>
          <w:tab w:val="left" w:pos="11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 w:eastAsia="zh-CN"/>
        </w:rPr>
      </w:pPr>
      <w:hyperlink w:anchor="_Toc130204415" w:history="1">
        <w:r w:rsidRPr="00606AD2">
          <w:rPr>
            <w:rStyle w:val="Collegamentoipertestuale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it-IT" w:eastAsia="zh-CN"/>
          </w:rPr>
          <w:tab/>
        </w:r>
        <w:r w:rsidRPr="00606AD2">
          <w:rPr>
            <w:rStyle w:val="Collegamentoipertestuale"/>
            <w:noProof/>
            <w:lang w:val="ru"/>
          </w:rPr>
          <w:t>Планирование тендера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_Toc130204415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B66549B" w14:textId="7829952D" w:rsidR="000C7445" w:rsidRDefault="000C7445">
      <w:pPr>
        <w:pStyle w:val="Sommario3"/>
        <w:tabs>
          <w:tab w:val="left" w:pos="11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 w:eastAsia="zh-CN"/>
        </w:rPr>
      </w:pPr>
      <w:hyperlink w:anchor="_Toc130204416" w:history="1">
        <w:r w:rsidRPr="00606AD2">
          <w:rPr>
            <w:rStyle w:val="Collegamentoipertestuale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it-IT" w:eastAsia="zh-CN"/>
          </w:rPr>
          <w:tab/>
        </w:r>
        <w:r w:rsidRPr="00606AD2">
          <w:rPr>
            <w:rStyle w:val="Collegamentoipertestuale"/>
            <w:noProof/>
            <w:lang w:val="ru"/>
          </w:rPr>
          <w:t>Оценка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_Toc130204416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FC86651" w14:textId="440C9BC8" w:rsidR="000C7445" w:rsidRDefault="000C7445">
      <w:pPr>
        <w:pStyle w:val="Sommario3"/>
        <w:tabs>
          <w:tab w:val="left" w:pos="11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 w:eastAsia="zh-CN"/>
        </w:rPr>
      </w:pPr>
      <w:hyperlink w:anchor="_Toc130204417" w:history="1">
        <w:r w:rsidRPr="00606AD2">
          <w:rPr>
            <w:rStyle w:val="Collegamentoipertestuale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it-IT" w:eastAsia="zh-CN"/>
          </w:rPr>
          <w:tab/>
        </w:r>
        <w:r w:rsidRPr="00606AD2">
          <w:rPr>
            <w:rStyle w:val="Collegamentoipertestuale"/>
            <w:noProof/>
            <w:lang w:val="ru"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_Toc130204417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60A317A" w14:textId="70FB40A3" w:rsidR="000C7445" w:rsidRDefault="000C7445">
      <w:pPr>
        <w:pStyle w:val="Sommario3"/>
        <w:tabs>
          <w:tab w:val="left" w:pos="110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  <w:lang w:val="it-IT" w:eastAsia="zh-CN"/>
        </w:rPr>
      </w:pPr>
      <w:hyperlink w:anchor="_Toc130204418" w:history="1">
        <w:r w:rsidRPr="00606AD2">
          <w:rPr>
            <w:rStyle w:val="Collegamentoipertestuale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it-IT" w:eastAsia="zh-CN"/>
          </w:rPr>
          <w:tab/>
        </w:r>
        <w:r w:rsidRPr="00606AD2">
          <w:rPr>
            <w:rStyle w:val="Collegamentoipertestuale"/>
            <w:noProof/>
            <w:lang w:val="ru"/>
          </w:rPr>
          <w:t>Подписи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_Toc130204418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5F4C28D" w14:textId="0018FF7F" w:rsidR="00996DAA" w:rsidRPr="00BD5A70" w:rsidRDefault="000672D9" w:rsidP="00996DAA">
      <w:pPr>
        <w:rPr>
          <w:rFonts w:eastAsiaTheme="minorEastAsia" w:cs="Arial"/>
          <w:noProof/>
        </w:rPr>
      </w:pPr>
      <w:r>
        <w:rPr>
          <w:rFonts w:eastAsiaTheme="minorEastAsia" w:cs="Arial"/>
          <w:noProof/>
        </w:rPr>
        <w:fldChar w:fldCharType="end"/>
      </w:r>
    </w:p>
    <w:p w14:paraId="39D85452" w14:textId="77777777" w:rsidR="00E125C8" w:rsidRPr="00BD5A70" w:rsidRDefault="00E125C8" w:rsidP="00141C22">
      <w:pPr>
        <w:pStyle w:val="Titolo3"/>
        <w:shd w:val="clear" w:color="auto" w:fill="D9D9D9"/>
      </w:pPr>
      <w:bookmarkStart w:id="5" w:name="_Toc75856780"/>
      <w:bookmarkStart w:id="6" w:name="_Toc130204413"/>
      <w:r>
        <w:rPr>
          <w:lang w:val="ru"/>
        </w:rPr>
        <w:t>Контекст</w:t>
      </w:r>
      <w:bookmarkEnd w:id="5"/>
      <w:bookmarkEnd w:id="6"/>
    </w:p>
    <w:p w14:paraId="3B279100" w14:textId="77777777" w:rsidR="00E125C8" w:rsidRPr="000C7445" w:rsidRDefault="00E125C8" w:rsidP="00E125C8">
      <w:pPr>
        <w:rPr>
          <w:rFonts w:cs="Arial"/>
          <w:lang w:val="ru-RU"/>
        </w:rPr>
      </w:pPr>
      <w:r>
        <w:rPr>
          <w:rFonts w:cs="Arial"/>
          <w:lang w:val="ru"/>
        </w:rPr>
        <w:t>Быстрое представление программы / донора / расчетной суммы / порога / причины запуска тендера</w:t>
      </w:r>
    </w:p>
    <w:p w14:paraId="77F28437" w14:textId="77777777" w:rsidR="00A466AE" w:rsidRPr="000C7445" w:rsidRDefault="00A466AE" w:rsidP="00E125C8">
      <w:pPr>
        <w:rPr>
          <w:rFonts w:cs="Arial"/>
          <w:lang w:val="ru-RU"/>
        </w:rPr>
      </w:pPr>
    </w:p>
    <w:p w14:paraId="2DC71C4E" w14:textId="77777777" w:rsidR="00A466AE" w:rsidRPr="00BD5A70" w:rsidRDefault="00A466AE" w:rsidP="00141C22">
      <w:pPr>
        <w:pStyle w:val="Titolo3"/>
        <w:shd w:val="clear" w:color="auto" w:fill="D9D9D9"/>
      </w:pPr>
      <w:bookmarkStart w:id="7" w:name="_Toc75856781"/>
      <w:bookmarkStart w:id="8" w:name="_Toc130204414"/>
      <w:r>
        <w:rPr>
          <w:lang w:val="ru"/>
        </w:rPr>
        <w:t>Комитет по оценке тендерных предложений</w:t>
      </w:r>
      <w:bookmarkEnd w:id="7"/>
      <w:bookmarkEnd w:id="8"/>
    </w:p>
    <w:p w14:paraId="4A95AC95" w14:textId="77777777" w:rsidR="00B4235C" w:rsidRPr="00BD5A70" w:rsidRDefault="00B4235C" w:rsidP="00A466AE">
      <w:pPr>
        <w:rPr>
          <w:rFonts w:cs="Arial"/>
        </w:rPr>
      </w:pPr>
    </w:p>
    <w:p w14:paraId="6B0ABE92" w14:textId="77777777" w:rsidR="00A466AE" w:rsidRPr="000C7445" w:rsidRDefault="00A466AE" w:rsidP="00A466AE">
      <w:pPr>
        <w:rPr>
          <w:rFonts w:cs="Arial"/>
          <w:lang w:val="ru-RU"/>
        </w:rPr>
      </w:pPr>
      <w:r>
        <w:rPr>
          <w:rFonts w:cs="Arial"/>
          <w:lang w:val="ru"/>
        </w:rPr>
        <w:t>Комитет по оценке состоит из:</w:t>
      </w:r>
    </w:p>
    <w:p w14:paraId="163DDD34" w14:textId="77777777" w:rsidR="00A466AE" w:rsidRPr="00BD5A70" w:rsidRDefault="00A466AE" w:rsidP="00A466AE">
      <w:pPr>
        <w:numPr>
          <w:ilvl w:val="0"/>
          <w:numId w:val="3"/>
        </w:numPr>
        <w:rPr>
          <w:rFonts w:cs="Arial"/>
          <w:highlight w:val="yellow"/>
        </w:rPr>
      </w:pPr>
      <w:r>
        <w:rPr>
          <w:rFonts w:cs="Arial"/>
          <w:highlight w:val="yellow"/>
          <w:lang w:val="ru"/>
        </w:rPr>
        <w:t>[ФИО] – должность</w:t>
      </w:r>
    </w:p>
    <w:p w14:paraId="5E5BD899" w14:textId="77777777" w:rsidR="00A466AE" w:rsidRPr="00BD5A70" w:rsidRDefault="00A466AE" w:rsidP="00A466AE">
      <w:pPr>
        <w:numPr>
          <w:ilvl w:val="0"/>
          <w:numId w:val="3"/>
        </w:numPr>
        <w:rPr>
          <w:rFonts w:cs="Arial"/>
          <w:highlight w:val="yellow"/>
        </w:rPr>
      </w:pPr>
      <w:r>
        <w:rPr>
          <w:rFonts w:cs="Arial"/>
          <w:highlight w:val="yellow"/>
          <w:lang w:val="ru"/>
        </w:rPr>
        <w:t>[ФИО] – должность</w:t>
      </w:r>
    </w:p>
    <w:p w14:paraId="04915514" w14:textId="77777777" w:rsidR="00A466AE" w:rsidRPr="00BD5A70" w:rsidRDefault="00A466AE" w:rsidP="00A466AE">
      <w:pPr>
        <w:numPr>
          <w:ilvl w:val="0"/>
          <w:numId w:val="3"/>
        </w:numPr>
        <w:rPr>
          <w:rFonts w:cs="Arial"/>
          <w:highlight w:val="yellow"/>
        </w:rPr>
      </w:pPr>
      <w:r>
        <w:rPr>
          <w:rFonts w:cs="Arial"/>
          <w:highlight w:val="yellow"/>
          <w:lang w:val="ru"/>
        </w:rPr>
        <w:t>[ФИО] – должность</w:t>
      </w:r>
    </w:p>
    <w:p w14:paraId="56799E88" w14:textId="77777777" w:rsidR="00A466AE" w:rsidRPr="00BD5A70" w:rsidRDefault="00A466AE" w:rsidP="00A466AE">
      <w:pPr>
        <w:numPr>
          <w:ilvl w:val="0"/>
          <w:numId w:val="3"/>
        </w:numPr>
        <w:rPr>
          <w:rFonts w:cs="Arial"/>
          <w:highlight w:val="yellow"/>
        </w:rPr>
      </w:pPr>
      <w:r>
        <w:rPr>
          <w:rFonts w:cs="Arial"/>
          <w:highlight w:val="yellow"/>
          <w:lang w:val="ru"/>
        </w:rPr>
        <w:t>[ФИО] – должность</w:t>
      </w:r>
    </w:p>
    <w:p w14:paraId="12C39F13" w14:textId="77777777" w:rsidR="00BB5F75" w:rsidRPr="00BD5A70" w:rsidRDefault="00BB5F75" w:rsidP="00BB5F75">
      <w:pPr>
        <w:rPr>
          <w:rFonts w:cs="Arial"/>
        </w:rPr>
      </w:pPr>
    </w:p>
    <w:p w14:paraId="75BA634E" w14:textId="77777777" w:rsidR="00BB5F75" w:rsidRPr="000C7445" w:rsidRDefault="00BB5F75" w:rsidP="00BB5F75">
      <w:pPr>
        <w:rPr>
          <w:rFonts w:cs="Arial"/>
          <w:lang w:val="ru-RU"/>
        </w:rPr>
      </w:pPr>
      <w:r>
        <w:rPr>
          <w:rFonts w:cs="Arial"/>
          <w:lang w:val="ru"/>
        </w:rPr>
        <w:t>Эти участники обязуются соблюдать подписанную ими Декларацию объективности и конфиденциальности.</w:t>
      </w:r>
    </w:p>
    <w:p w14:paraId="0A80AB83" w14:textId="77777777" w:rsidR="00FF7237" w:rsidRPr="00BD5A70" w:rsidRDefault="00B4235C" w:rsidP="00141C22">
      <w:pPr>
        <w:pStyle w:val="Titolo3"/>
        <w:shd w:val="clear" w:color="auto" w:fill="D9D9D9"/>
      </w:pPr>
      <w:bookmarkStart w:id="9" w:name="_Toc75856782"/>
      <w:bookmarkStart w:id="10" w:name="_Toc130204415"/>
      <w:r>
        <w:rPr>
          <w:lang w:val="ru"/>
        </w:rPr>
        <w:t>Планирование тендера</w:t>
      </w:r>
      <w:bookmarkEnd w:id="9"/>
      <w:bookmarkEnd w:id="10"/>
    </w:p>
    <w:p w14:paraId="054083F4" w14:textId="77777777" w:rsidR="00FF7237" w:rsidRPr="00BD5A70" w:rsidRDefault="00FF7237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4"/>
        <w:gridCol w:w="1629"/>
        <w:gridCol w:w="2131"/>
        <w:gridCol w:w="2626"/>
      </w:tblGrid>
      <w:tr w:rsidR="00BB5F75" w:rsidRPr="00BD5A70" w14:paraId="38814CFC" w14:textId="77777777" w:rsidTr="000C7445">
        <w:trPr>
          <w:cantSplit/>
          <w:trHeight w:val="465"/>
        </w:trPr>
        <w:tc>
          <w:tcPr>
            <w:tcW w:w="1338" w:type="pct"/>
            <w:tcBorders>
              <w:bottom w:val="nil"/>
            </w:tcBorders>
          </w:tcPr>
          <w:p w14:paraId="1712E66F" w14:textId="77777777" w:rsidR="00BB5F75" w:rsidRPr="00BD5A70" w:rsidRDefault="00BB5F75">
            <w:pPr>
              <w:rPr>
                <w:rFonts w:cs="Arial"/>
                <w:sz w:val="20"/>
              </w:rPr>
            </w:pPr>
          </w:p>
        </w:tc>
        <w:tc>
          <w:tcPr>
            <w:tcW w:w="934" w:type="pct"/>
            <w:shd w:val="pct10" w:color="auto" w:fill="FFFFFF"/>
          </w:tcPr>
          <w:p w14:paraId="4B1EEC0B" w14:textId="77777777" w:rsidR="00BB5F75" w:rsidRPr="00BD5A70" w:rsidRDefault="00BB5F7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ru"/>
              </w:rPr>
              <w:t>ДАТА</w:t>
            </w:r>
          </w:p>
        </w:tc>
        <w:tc>
          <w:tcPr>
            <w:tcW w:w="1222" w:type="pct"/>
            <w:shd w:val="pct10" w:color="auto" w:fill="FFFFFF"/>
          </w:tcPr>
          <w:p w14:paraId="7C5232EA" w14:textId="77777777" w:rsidR="00BB5F75" w:rsidRPr="00BD5A70" w:rsidRDefault="00BB5F7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ru"/>
              </w:rPr>
              <w:t>Участники</w:t>
            </w:r>
          </w:p>
        </w:tc>
        <w:tc>
          <w:tcPr>
            <w:tcW w:w="1506" w:type="pct"/>
            <w:tcBorders>
              <w:bottom w:val="nil"/>
            </w:tcBorders>
            <w:shd w:val="pct10" w:color="auto" w:fill="FFFFFF"/>
          </w:tcPr>
          <w:p w14:paraId="787841CD" w14:textId="77777777" w:rsidR="00BB5F75" w:rsidRPr="00BD5A70" w:rsidRDefault="00BB5F7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ru"/>
              </w:rPr>
              <w:t>Цели / результат</w:t>
            </w:r>
          </w:p>
        </w:tc>
      </w:tr>
      <w:tr w:rsidR="00BB5F75" w:rsidRPr="000C7445" w14:paraId="08E3D864" w14:textId="77777777" w:rsidTr="000C7445">
        <w:trPr>
          <w:cantSplit/>
          <w:trHeight w:val="465"/>
        </w:trPr>
        <w:tc>
          <w:tcPr>
            <w:tcW w:w="1338" w:type="pct"/>
            <w:shd w:val="pct10" w:color="auto" w:fill="FFFFFF"/>
          </w:tcPr>
          <w:p w14:paraId="53732E98" w14:textId="77777777" w:rsidR="00BB5F75" w:rsidRPr="00BD5A70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ru"/>
              </w:rPr>
              <w:t>Подготовительное заседание № 1</w:t>
            </w:r>
          </w:p>
        </w:tc>
        <w:tc>
          <w:tcPr>
            <w:tcW w:w="934" w:type="pct"/>
          </w:tcPr>
          <w:p w14:paraId="04CF6F43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</w:tcPr>
          <w:p w14:paraId="24EC225A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</w:tcPr>
          <w:p w14:paraId="11EE9557" w14:textId="77777777" w:rsidR="00BB5F75" w:rsidRPr="000C7445" w:rsidRDefault="00BB5F75" w:rsidP="00FA7C3D">
            <w:pPr>
              <w:spacing w:before="120" w:after="120"/>
              <w:rPr>
                <w:rFonts w:cs="Arial"/>
                <w:sz w:val="20"/>
                <w:highlight w:val="yellow"/>
                <w:lang w:val="ru-RU"/>
              </w:rPr>
            </w:pPr>
            <w:r>
              <w:rPr>
                <w:rFonts w:cs="Arial"/>
                <w:sz w:val="20"/>
                <w:highlight w:val="yellow"/>
                <w:lang w:val="ru"/>
              </w:rPr>
              <w:t>Пример: определение планирования и лотов</w:t>
            </w:r>
          </w:p>
        </w:tc>
      </w:tr>
      <w:tr w:rsidR="00BB5F75" w:rsidRPr="000C7445" w14:paraId="38521D8F" w14:textId="77777777" w:rsidTr="000C7445">
        <w:trPr>
          <w:cantSplit/>
          <w:trHeight w:val="465"/>
        </w:trPr>
        <w:tc>
          <w:tcPr>
            <w:tcW w:w="1338" w:type="pct"/>
            <w:shd w:val="pct10" w:color="auto" w:fill="FFFFFF"/>
          </w:tcPr>
          <w:p w14:paraId="27F12722" w14:textId="77777777" w:rsidR="00BB5F75" w:rsidRPr="00BD5A70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ru"/>
              </w:rPr>
              <w:t>Подготовительное заседание № 2</w:t>
            </w:r>
          </w:p>
        </w:tc>
        <w:tc>
          <w:tcPr>
            <w:tcW w:w="934" w:type="pct"/>
          </w:tcPr>
          <w:p w14:paraId="6976FCAB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14:paraId="14C82A9A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  <w:shd w:val="clear" w:color="auto" w:fill="FFFFFF" w:themeFill="background1"/>
          </w:tcPr>
          <w:p w14:paraId="5E1720CC" w14:textId="77777777" w:rsidR="00BB5F75" w:rsidRPr="000C7445" w:rsidRDefault="00BB5F75" w:rsidP="00FA7C3D">
            <w:pPr>
              <w:spacing w:before="120" w:after="120"/>
              <w:rPr>
                <w:rFonts w:cs="Arial"/>
                <w:sz w:val="20"/>
                <w:highlight w:val="yellow"/>
                <w:lang w:val="ru-RU"/>
              </w:rPr>
            </w:pPr>
            <w:r>
              <w:rPr>
                <w:rFonts w:cs="Arial"/>
                <w:sz w:val="20"/>
                <w:highlight w:val="yellow"/>
                <w:lang w:val="ru"/>
              </w:rPr>
              <w:t>Пример: обзор и подведение итогов технических спецификаций</w:t>
            </w:r>
          </w:p>
        </w:tc>
      </w:tr>
      <w:tr w:rsidR="00BB5F75" w:rsidRPr="000C7445" w14:paraId="0A20E3FD" w14:textId="77777777" w:rsidTr="000C7445">
        <w:trPr>
          <w:cantSplit/>
          <w:trHeight w:val="465"/>
        </w:trPr>
        <w:tc>
          <w:tcPr>
            <w:tcW w:w="1338" w:type="pct"/>
            <w:shd w:val="pct10" w:color="auto" w:fill="FFFFFF"/>
          </w:tcPr>
          <w:p w14:paraId="4144BC8F" w14:textId="77777777" w:rsidR="00BB5F75" w:rsidRPr="000C7445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lang w:val="ru"/>
              </w:rPr>
              <w:lastRenderedPageBreak/>
              <w:t>Крайний срок представления тендерных предложений</w:t>
            </w:r>
          </w:p>
        </w:tc>
        <w:tc>
          <w:tcPr>
            <w:tcW w:w="934" w:type="pct"/>
          </w:tcPr>
          <w:p w14:paraId="050289FA" w14:textId="77777777" w:rsidR="00BB5F75" w:rsidRPr="000C7445" w:rsidRDefault="00BB5F75">
            <w:pPr>
              <w:spacing w:before="120" w:after="120"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1222" w:type="pct"/>
            <w:shd w:val="clear" w:color="auto" w:fill="FFFFFF" w:themeFill="background1"/>
          </w:tcPr>
          <w:p w14:paraId="4D73EEFF" w14:textId="77777777" w:rsidR="00BB5F75" w:rsidRPr="000C7445" w:rsidRDefault="00BB5F75">
            <w:pPr>
              <w:spacing w:before="120" w:after="120"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1506" w:type="pct"/>
            <w:shd w:val="clear" w:color="auto" w:fill="FFFFFF" w:themeFill="background1"/>
          </w:tcPr>
          <w:p w14:paraId="73A488CC" w14:textId="77777777" w:rsidR="00BB5F75" w:rsidRPr="000C7445" w:rsidRDefault="00BB5F75">
            <w:pPr>
              <w:spacing w:before="120" w:after="120"/>
              <w:jc w:val="both"/>
              <w:rPr>
                <w:rFonts w:cs="Arial"/>
                <w:sz w:val="20"/>
                <w:lang w:val="ru-RU"/>
              </w:rPr>
            </w:pPr>
          </w:p>
        </w:tc>
      </w:tr>
      <w:tr w:rsidR="00BB5F75" w:rsidRPr="00BD5A70" w14:paraId="27AD6678" w14:textId="77777777" w:rsidTr="000C7445">
        <w:trPr>
          <w:cantSplit/>
          <w:trHeight w:val="465"/>
        </w:trPr>
        <w:tc>
          <w:tcPr>
            <w:tcW w:w="1338" w:type="pct"/>
            <w:shd w:val="pct10" w:color="auto" w:fill="FFFFFF"/>
          </w:tcPr>
          <w:p w14:paraId="2AD7075A" w14:textId="77777777" w:rsidR="00BB5F75" w:rsidRPr="00BD5A70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ru"/>
              </w:rPr>
              <w:t>Заседание по открытию тендера</w:t>
            </w:r>
          </w:p>
        </w:tc>
        <w:tc>
          <w:tcPr>
            <w:tcW w:w="934" w:type="pct"/>
          </w:tcPr>
          <w:p w14:paraId="1641C224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</w:tcPr>
          <w:p w14:paraId="73C1ACA0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</w:tcPr>
          <w:p w14:paraId="68087640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  <w:tr w:rsidR="00BB5F75" w:rsidRPr="00BD5A70" w14:paraId="34269C1C" w14:textId="77777777" w:rsidTr="000C7445">
        <w:trPr>
          <w:cantSplit/>
          <w:trHeight w:val="465"/>
        </w:trPr>
        <w:tc>
          <w:tcPr>
            <w:tcW w:w="1338" w:type="pct"/>
            <w:shd w:val="pct10" w:color="auto" w:fill="FFFFFF"/>
          </w:tcPr>
          <w:p w14:paraId="4240CEAE" w14:textId="2D2883E8" w:rsidR="00BB5F75" w:rsidRPr="00BD5A70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ru"/>
              </w:rPr>
              <w:t>Внутреннее совещание № 1:</w:t>
            </w:r>
          </w:p>
        </w:tc>
        <w:tc>
          <w:tcPr>
            <w:tcW w:w="934" w:type="pct"/>
          </w:tcPr>
          <w:p w14:paraId="4B45AED2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</w:tcPr>
          <w:p w14:paraId="4B507E50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</w:tcPr>
          <w:p w14:paraId="6A0A9C99" w14:textId="1B1B2019" w:rsidR="00BB5F75" w:rsidRPr="00BD5A70" w:rsidRDefault="00243985" w:rsidP="00FA7C3D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highlight w:val="yellow"/>
                <w:lang w:val="ru"/>
              </w:rPr>
              <w:t>Пример:  Оценка образца</w:t>
            </w:r>
          </w:p>
        </w:tc>
      </w:tr>
      <w:tr w:rsidR="00BB5F75" w:rsidRPr="00BD5A70" w14:paraId="52080A30" w14:textId="77777777" w:rsidTr="000C7445">
        <w:trPr>
          <w:cantSplit/>
          <w:trHeight w:val="465"/>
        </w:trPr>
        <w:tc>
          <w:tcPr>
            <w:tcW w:w="1338" w:type="pct"/>
            <w:shd w:val="pct10" w:color="auto" w:fill="FFFFFF"/>
          </w:tcPr>
          <w:p w14:paraId="483FA1AF" w14:textId="0659217E" w:rsidR="00BB5F75" w:rsidRPr="00BD5A70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ru"/>
              </w:rPr>
              <w:t>Внутреннее совещание № 2:</w:t>
            </w:r>
          </w:p>
        </w:tc>
        <w:tc>
          <w:tcPr>
            <w:tcW w:w="934" w:type="pct"/>
          </w:tcPr>
          <w:p w14:paraId="4C2A834D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</w:tcPr>
          <w:p w14:paraId="15FBFAD1" w14:textId="77777777" w:rsidR="00BB5F75" w:rsidRPr="00BD5A70" w:rsidRDefault="00BB5F75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</w:tcPr>
          <w:p w14:paraId="7ED1CF3B" w14:textId="77777777" w:rsidR="00BB5F75" w:rsidRPr="00BD5A70" w:rsidRDefault="00243985">
            <w:pPr>
              <w:spacing w:before="120" w:after="12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highlight w:val="yellow"/>
                <w:lang w:val="ru"/>
              </w:rPr>
              <w:t>Пример:  Анализ цен</w:t>
            </w:r>
          </w:p>
        </w:tc>
      </w:tr>
      <w:tr w:rsidR="00BB5F75" w:rsidRPr="000C7445" w14:paraId="28A2C7FD" w14:textId="77777777" w:rsidTr="000C7445">
        <w:trPr>
          <w:cantSplit/>
          <w:trHeight w:val="465"/>
        </w:trPr>
        <w:tc>
          <w:tcPr>
            <w:tcW w:w="1338" w:type="pct"/>
            <w:shd w:val="pct10" w:color="auto" w:fill="FFFFFF"/>
          </w:tcPr>
          <w:p w14:paraId="197BA1BE" w14:textId="77777777" w:rsidR="00BB5F75" w:rsidRPr="000C7445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lang w:val="ru"/>
              </w:rPr>
              <w:t>Ссылки на обращения к клиентам</w:t>
            </w:r>
          </w:p>
        </w:tc>
        <w:tc>
          <w:tcPr>
            <w:tcW w:w="934" w:type="pct"/>
          </w:tcPr>
          <w:p w14:paraId="36F8A262" w14:textId="77777777" w:rsidR="00BB5F75" w:rsidRPr="000C7445" w:rsidRDefault="00BB5F75">
            <w:pPr>
              <w:spacing w:before="120" w:after="120"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1222" w:type="pct"/>
          </w:tcPr>
          <w:p w14:paraId="7B7A5174" w14:textId="77777777" w:rsidR="00BB5F75" w:rsidRPr="000C7445" w:rsidRDefault="00BB5F75">
            <w:pPr>
              <w:spacing w:before="120" w:after="120"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1506" w:type="pct"/>
          </w:tcPr>
          <w:p w14:paraId="1E93D6C3" w14:textId="77777777" w:rsidR="00BB5F75" w:rsidRPr="000C7445" w:rsidRDefault="00BB5F75">
            <w:pPr>
              <w:spacing w:before="120" w:after="120"/>
              <w:jc w:val="both"/>
              <w:rPr>
                <w:rFonts w:cs="Arial"/>
                <w:sz w:val="20"/>
                <w:lang w:val="ru-RU"/>
              </w:rPr>
            </w:pPr>
          </w:p>
        </w:tc>
      </w:tr>
      <w:tr w:rsidR="00BB5F75" w:rsidRPr="000C7445" w14:paraId="43449D05" w14:textId="77777777" w:rsidTr="000C7445">
        <w:trPr>
          <w:cantSplit/>
          <w:trHeight w:val="465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7DF03E3" w14:textId="77777777" w:rsidR="00BB5F75" w:rsidRPr="000C7445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lang w:val="ru"/>
              </w:rPr>
              <w:t>Определение короткого списка и коммуникация (</w:t>
            </w:r>
            <w:r>
              <w:rPr>
                <w:rFonts w:cs="Arial"/>
                <w:b/>
                <w:bCs/>
                <w:color w:val="FF0000"/>
                <w:sz w:val="20"/>
                <w:lang w:val="ru"/>
              </w:rPr>
              <w:t>НЕОБЯЗАТЕЛЬНО</w:t>
            </w:r>
            <w:r>
              <w:rPr>
                <w:rFonts w:cs="Arial"/>
                <w:b/>
                <w:bCs/>
                <w:sz w:val="20"/>
                <w:lang w:val="ru"/>
              </w:rPr>
              <w:t>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E02D" w14:textId="77777777" w:rsidR="00BB5F75" w:rsidRPr="000C7445" w:rsidRDefault="00BB5F75" w:rsidP="00116259">
            <w:pPr>
              <w:spacing w:before="120" w:after="120"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E779" w14:textId="77777777" w:rsidR="00BB5F75" w:rsidRPr="000C7445" w:rsidRDefault="00BB5F75" w:rsidP="00116259">
            <w:pPr>
              <w:spacing w:before="120" w:after="120"/>
              <w:jc w:val="both"/>
              <w:rPr>
                <w:rFonts w:cs="Arial"/>
                <w:sz w:val="20"/>
                <w:lang w:val="ru-RU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17F4" w14:textId="77777777" w:rsidR="00BB5F75" w:rsidRPr="000C7445" w:rsidRDefault="00BB5F75" w:rsidP="00116259">
            <w:pPr>
              <w:spacing w:before="120" w:after="120"/>
              <w:jc w:val="both"/>
              <w:rPr>
                <w:rFonts w:cs="Arial"/>
                <w:sz w:val="20"/>
                <w:lang w:val="ru-RU"/>
              </w:rPr>
            </w:pPr>
          </w:p>
        </w:tc>
      </w:tr>
      <w:tr w:rsidR="00BB5F75" w:rsidRPr="000C7445" w14:paraId="61F1FA79" w14:textId="77777777" w:rsidTr="000C7445">
        <w:trPr>
          <w:cantSplit/>
          <w:trHeight w:val="465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A489731" w14:textId="77777777" w:rsidR="00BB5F75" w:rsidRPr="00BD5A70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ru"/>
              </w:rPr>
              <w:t>Внешнее совещание № 1: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0C7E" w14:textId="77777777" w:rsidR="00BB5F75" w:rsidRPr="00BD5A70" w:rsidRDefault="00BB5F75" w:rsidP="00116259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0181" w14:textId="77777777" w:rsidR="00BB5F75" w:rsidRPr="00BD5A70" w:rsidRDefault="00BB5F75" w:rsidP="00116259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B9DC" w14:textId="77777777" w:rsidR="00BB5F75" w:rsidRPr="000C7445" w:rsidRDefault="00243985" w:rsidP="00FA7C3D">
            <w:pPr>
              <w:spacing w:before="120" w:after="120"/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lang w:val="ru"/>
              </w:rPr>
              <w:t>Например, разъяснения, посещение площадки поставщика, переговоры и т. д.</w:t>
            </w:r>
          </w:p>
        </w:tc>
      </w:tr>
      <w:tr w:rsidR="00BB5F75" w:rsidRPr="00BD5A70" w14:paraId="016A8EF4" w14:textId="77777777" w:rsidTr="000C7445">
        <w:trPr>
          <w:cantSplit/>
          <w:trHeight w:val="465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B22CDB9" w14:textId="77777777" w:rsidR="00BB5F75" w:rsidRPr="00BD5A70" w:rsidRDefault="00BB5F75" w:rsidP="009E2E2A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ru"/>
              </w:rPr>
              <w:t>Заключительное заседание по оценке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FCEA" w14:textId="77777777" w:rsidR="00BB5F75" w:rsidRPr="00BD5A70" w:rsidRDefault="00BB5F75" w:rsidP="00116259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5427" w14:textId="77777777" w:rsidR="00BB5F75" w:rsidRPr="00BD5A70" w:rsidRDefault="00BB5F75" w:rsidP="00116259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5062" w14:textId="77777777" w:rsidR="00BB5F75" w:rsidRPr="00BD5A70" w:rsidRDefault="00BB5F75" w:rsidP="00116259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</w:tbl>
    <w:p w14:paraId="0C7FCF40" w14:textId="77777777" w:rsidR="00FF7237" w:rsidRPr="00BD5A70" w:rsidRDefault="00FF7237" w:rsidP="00141C22">
      <w:pPr>
        <w:pStyle w:val="Titolo3"/>
        <w:shd w:val="clear" w:color="auto" w:fill="D9D9D9"/>
      </w:pPr>
      <w:bookmarkStart w:id="11" w:name="_Toc75856783"/>
      <w:bookmarkStart w:id="12" w:name="_Toc130204416"/>
      <w:r>
        <w:rPr>
          <w:lang w:val="ru"/>
        </w:rPr>
        <w:t>Оценка</w:t>
      </w:r>
      <w:bookmarkEnd w:id="11"/>
      <w:bookmarkEnd w:id="12"/>
    </w:p>
    <w:p w14:paraId="1E3E84C5" w14:textId="77777777" w:rsidR="00FF7237" w:rsidRPr="00BD5A70" w:rsidRDefault="00FF7237">
      <w:pPr>
        <w:pStyle w:val="Titolo4"/>
        <w:rPr>
          <w:rFonts w:cs="Arial"/>
        </w:rPr>
      </w:pPr>
      <w:r>
        <w:rPr>
          <w:rFonts w:cs="Arial"/>
          <w:lang w:val="ru"/>
        </w:rPr>
        <w:t>Заседание по открытию тендера</w:t>
      </w:r>
    </w:p>
    <w:p w14:paraId="5F784E15" w14:textId="77777777" w:rsidR="00FD09C4" w:rsidRPr="000C7445" w:rsidRDefault="00FF7237" w:rsidP="00FD09C4">
      <w:pPr>
        <w:jc w:val="both"/>
        <w:rPr>
          <w:rFonts w:cs="Arial"/>
          <w:lang w:val="ru-RU"/>
        </w:rPr>
      </w:pPr>
      <w:r>
        <w:rPr>
          <w:rFonts w:cs="Arial"/>
          <w:lang w:val="ru"/>
        </w:rPr>
        <w:t xml:space="preserve">К настоящему документу прилагается отчет о заявителях и открытии. Было получено </w:t>
      </w:r>
      <w:r>
        <w:rPr>
          <w:rFonts w:cs="Arial"/>
          <w:highlight w:val="yellow"/>
          <w:lang w:val="ru"/>
        </w:rPr>
        <w:t>XX</w:t>
      </w:r>
      <w:r>
        <w:rPr>
          <w:rFonts w:cs="Arial"/>
          <w:lang w:val="ru"/>
        </w:rPr>
        <w:t xml:space="preserve"> предложений, и </w:t>
      </w:r>
      <w:r>
        <w:rPr>
          <w:rFonts w:cs="Arial"/>
          <w:highlight w:val="yellow"/>
          <w:lang w:val="ru"/>
        </w:rPr>
        <w:t>XX</w:t>
      </w:r>
      <w:r>
        <w:rPr>
          <w:rFonts w:cs="Arial"/>
          <w:lang w:val="ru"/>
        </w:rPr>
        <w:t xml:space="preserve"> предложений (-я) были сочтены достаточно полными для проведения анализа:</w:t>
      </w:r>
    </w:p>
    <w:p w14:paraId="255877A3" w14:textId="77777777" w:rsidR="003413CA" w:rsidRPr="000C7445" w:rsidRDefault="00FF7237" w:rsidP="00D41628">
      <w:pPr>
        <w:jc w:val="both"/>
        <w:rPr>
          <w:rFonts w:cs="Arial"/>
          <w:lang w:val="ru-RU"/>
        </w:rPr>
      </w:pPr>
      <w:r>
        <w:rPr>
          <w:rFonts w:cs="Arial"/>
          <w:lang w:val="ru"/>
        </w:rPr>
        <w:t>Комитет по оценке рассматривал только те предложения, которые были признаны подходящими для дальнейшей оценки после открытия тендера, т. е. предложения, принятые в графе «Общее решение».</w:t>
      </w:r>
    </w:p>
    <w:p w14:paraId="4DF2734B" w14:textId="77777777" w:rsidR="003413CA" w:rsidRPr="00BD5A70" w:rsidRDefault="003413CA">
      <w:pPr>
        <w:pStyle w:val="Titolo4"/>
        <w:rPr>
          <w:rFonts w:cs="Arial"/>
          <w:i w:val="0"/>
          <w:color w:val="FF0000"/>
        </w:rPr>
      </w:pPr>
      <w:r>
        <w:rPr>
          <w:rFonts w:cs="Arial"/>
          <w:lang w:val="ru"/>
        </w:rPr>
        <w:t xml:space="preserve">Разъяснения </w:t>
      </w:r>
      <w:r>
        <w:rPr>
          <w:rFonts w:cs="Arial"/>
          <w:i w:val="0"/>
          <w:iCs w:val="0"/>
          <w:color w:val="FF0000"/>
          <w:lang w:val="ru"/>
        </w:rPr>
        <w:t>(НЕОБЯЗАТЕЛЬНО)</w:t>
      </w:r>
    </w:p>
    <w:p w14:paraId="693DDE3C" w14:textId="77777777" w:rsidR="003413CA" w:rsidRPr="000C7445" w:rsidRDefault="003413CA" w:rsidP="003413CA">
      <w:pPr>
        <w:rPr>
          <w:rFonts w:cs="Arial"/>
          <w:b/>
          <w:color w:val="FF0000"/>
          <w:lang w:val="ru-RU"/>
        </w:rPr>
      </w:pPr>
      <w:r>
        <w:rPr>
          <w:rFonts w:cs="Arial"/>
          <w:b/>
          <w:bCs/>
          <w:color w:val="FF0000"/>
          <w:lang w:val="ru"/>
        </w:rPr>
        <w:t>Если от какого-либо участника тендера были запрошены разъяснения по поданным заявкам:</w:t>
      </w:r>
    </w:p>
    <w:p w14:paraId="05838369" w14:textId="77777777" w:rsidR="003413CA" w:rsidRPr="000C7445" w:rsidRDefault="003413CA" w:rsidP="003413CA">
      <w:pPr>
        <w:rPr>
          <w:rFonts w:cs="Arial"/>
          <w:lang w:val="ru-RU"/>
        </w:rPr>
      </w:pPr>
    </w:p>
    <w:p w14:paraId="2154FDEE" w14:textId="77777777" w:rsidR="003413CA" w:rsidRPr="000C7445" w:rsidRDefault="003413CA" w:rsidP="00D41628">
      <w:pPr>
        <w:jc w:val="both"/>
        <w:rPr>
          <w:rFonts w:cs="Arial"/>
          <w:lang w:val="ru-RU"/>
        </w:rPr>
      </w:pPr>
      <w:r>
        <w:rPr>
          <w:rFonts w:cs="Arial"/>
          <w:lang w:val="ru"/>
        </w:rPr>
        <w:t xml:space="preserve">С согласия других членов Комитета по оценке </w:t>
      </w:r>
      <w:r>
        <w:rPr>
          <w:rFonts w:cs="Arial"/>
          <w:highlight w:val="yellow"/>
          <w:lang w:val="ru"/>
        </w:rPr>
        <w:t>Председатель</w:t>
      </w:r>
      <w:r>
        <w:rPr>
          <w:rFonts w:cs="Arial"/>
          <w:lang w:val="ru"/>
        </w:rPr>
        <w:t xml:space="preserve"> направил письмо следующим участникам тендера, чьи тендеры требуют уточнения, предлагая им возможность ответить в течение максимум </w:t>
      </w:r>
      <w:r>
        <w:rPr>
          <w:rFonts w:cs="Arial"/>
          <w:highlight w:val="yellow"/>
          <w:lang w:val="ru"/>
        </w:rPr>
        <w:t>48 часов</w:t>
      </w:r>
      <w:r>
        <w:rPr>
          <w:rFonts w:cs="Arial"/>
          <w:lang w:val="ru"/>
        </w:rPr>
        <w:t xml:space="preserve"> (вся корреспонденция прилагается в указанном Приложении):</w:t>
      </w:r>
    </w:p>
    <w:p w14:paraId="549E626F" w14:textId="77777777" w:rsidR="003413CA" w:rsidRPr="000C7445" w:rsidRDefault="003413CA" w:rsidP="003413CA">
      <w:pPr>
        <w:rPr>
          <w:rFonts w:cs="Arial"/>
          <w:lang w:val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346"/>
        <w:gridCol w:w="3109"/>
        <w:gridCol w:w="4265"/>
      </w:tblGrid>
      <w:tr w:rsidR="003413CA" w:rsidRPr="00BD5A70" w14:paraId="3AAB890F" w14:textId="77777777" w:rsidTr="00D41628">
        <w:trPr>
          <w:cantSplit/>
          <w:trHeight w:val="915"/>
        </w:trPr>
        <w:tc>
          <w:tcPr>
            <w:tcW w:w="762" w:type="pct"/>
            <w:shd w:val="pct10" w:color="auto" w:fill="FFFFFF"/>
            <w:vAlign w:val="center"/>
          </w:tcPr>
          <w:p w14:paraId="5B332765" w14:textId="77777777" w:rsidR="003413CA" w:rsidRPr="00BD5A70" w:rsidRDefault="003413CA" w:rsidP="00862088">
            <w:pPr>
              <w:keepNext/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"/>
              </w:rPr>
              <w:lastRenderedPageBreak/>
              <w:t>Тендерный пакет №</w:t>
            </w:r>
          </w:p>
        </w:tc>
        <w:tc>
          <w:tcPr>
            <w:tcW w:w="1788" w:type="pct"/>
            <w:shd w:val="pct10" w:color="auto" w:fill="FFFFFF"/>
            <w:vAlign w:val="center"/>
          </w:tcPr>
          <w:p w14:paraId="547B3D2F" w14:textId="77777777" w:rsidR="003413CA" w:rsidRPr="00BD5A70" w:rsidRDefault="003413CA" w:rsidP="00862088">
            <w:pPr>
              <w:keepNext/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"/>
              </w:rPr>
              <w:t>Наименование участника тендера</w:t>
            </w:r>
          </w:p>
        </w:tc>
        <w:tc>
          <w:tcPr>
            <w:tcW w:w="2451" w:type="pct"/>
            <w:shd w:val="pct10" w:color="auto" w:fill="FFFFFF"/>
            <w:vAlign w:val="center"/>
          </w:tcPr>
          <w:p w14:paraId="16E718B5" w14:textId="77777777" w:rsidR="003413CA" w:rsidRPr="00BD5A70" w:rsidRDefault="003413CA" w:rsidP="00F52430">
            <w:pPr>
              <w:keepNext/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"/>
              </w:rPr>
              <w:t>Сводка обмена корреспонденцией</w:t>
            </w:r>
          </w:p>
        </w:tc>
      </w:tr>
      <w:tr w:rsidR="003413CA" w:rsidRPr="00BD5A70" w14:paraId="580D512A" w14:textId="77777777" w:rsidTr="00D41628">
        <w:trPr>
          <w:cantSplit/>
          <w:trHeight w:val="915"/>
        </w:trPr>
        <w:tc>
          <w:tcPr>
            <w:tcW w:w="762" w:type="pct"/>
            <w:vAlign w:val="center"/>
          </w:tcPr>
          <w:p w14:paraId="61B5CBDB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b/>
                <w:sz w:val="22"/>
              </w:rPr>
            </w:pPr>
          </w:p>
        </w:tc>
        <w:tc>
          <w:tcPr>
            <w:tcW w:w="1788" w:type="pct"/>
            <w:vAlign w:val="center"/>
          </w:tcPr>
          <w:p w14:paraId="165A6E5F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2451" w:type="pct"/>
            <w:vAlign w:val="center"/>
          </w:tcPr>
          <w:p w14:paraId="2648F5E0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  <w:tr w:rsidR="003413CA" w:rsidRPr="00BD5A70" w14:paraId="5B641464" w14:textId="77777777" w:rsidTr="00D41628">
        <w:trPr>
          <w:cantSplit/>
          <w:trHeight w:val="915"/>
        </w:trPr>
        <w:tc>
          <w:tcPr>
            <w:tcW w:w="762" w:type="pct"/>
            <w:vAlign w:val="center"/>
          </w:tcPr>
          <w:p w14:paraId="11EF9A58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b/>
                <w:sz w:val="22"/>
              </w:rPr>
            </w:pPr>
          </w:p>
        </w:tc>
        <w:tc>
          <w:tcPr>
            <w:tcW w:w="1788" w:type="pct"/>
            <w:vAlign w:val="center"/>
          </w:tcPr>
          <w:p w14:paraId="3000CC88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2451" w:type="pct"/>
            <w:vAlign w:val="center"/>
          </w:tcPr>
          <w:p w14:paraId="29B3377A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  <w:tr w:rsidR="003413CA" w:rsidRPr="00BD5A70" w14:paraId="0EE92E00" w14:textId="77777777" w:rsidTr="00D41628">
        <w:trPr>
          <w:cantSplit/>
          <w:trHeight w:val="915"/>
        </w:trPr>
        <w:tc>
          <w:tcPr>
            <w:tcW w:w="762" w:type="pct"/>
            <w:vAlign w:val="center"/>
          </w:tcPr>
          <w:p w14:paraId="296F2EB3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b/>
                <w:sz w:val="22"/>
              </w:rPr>
            </w:pPr>
          </w:p>
        </w:tc>
        <w:tc>
          <w:tcPr>
            <w:tcW w:w="1788" w:type="pct"/>
            <w:vAlign w:val="center"/>
          </w:tcPr>
          <w:p w14:paraId="295F51DC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  <w:tc>
          <w:tcPr>
            <w:tcW w:w="2451" w:type="pct"/>
            <w:vAlign w:val="center"/>
          </w:tcPr>
          <w:p w14:paraId="48D42DAD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</w:tbl>
    <w:p w14:paraId="22967BE9" w14:textId="77777777" w:rsidR="003413CA" w:rsidRPr="00BD5A70" w:rsidRDefault="003413CA" w:rsidP="003413CA">
      <w:pPr>
        <w:rPr>
          <w:rFonts w:cs="Arial"/>
        </w:rPr>
      </w:pPr>
    </w:p>
    <w:p w14:paraId="021C5F2F" w14:textId="77777777" w:rsidR="00FF7237" w:rsidRPr="00BD5A70" w:rsidRDefault="00FF7237">
      <w:pPr>
        <w:pStyle w:val="Titolo4"/>
        <w:rPr>
          <w:rFonts w:cs="Arial"/>
        </w:rPr>
      </w:pPr>
      <w:r>
        <w:rPr>
          <w:rFonts w:cs="Arial"/>
          <w:lang w:val="ru"/>
        </w:rPr>
        <w:t xml:space="preserve">Соблюдение административных требований </w:t>
      </w:r>
    </w:p>
    <w:p w14:paraId="157C30C5" w14:textId="77777777" w:rsidR="00FF7237" w:rsidRPr="000C7445" w:rsidRDefault="00FF7237" w:rsidP="00D41628">
      <w:pPr>
        <w:jc w:val="both"/>
        <w:rPr>
          <w:rFonts w:cs="Arial"/>
          <w:lang w:val="ru-RU"/>
        </w:rPr>
      </w:pPr>
      <w:r>
        <w:rPr>
          <w:rFonts w:cs="Arial"/>
          <w:lang w:val="ru"/>
        </w:rPr>
        <w:t>Комитет по оценке использовал анализ анкеты поставщиков (в таблице оценки тендерных предложений), прилагаемой к приложениям, для оценки соответствия каждого из тендеров основным требованиям тендерного досье.</w:t>
      </w:r>
    </w:p>
    <w:p w14:paraId="5867ACDD" w14:textId="77777777" w:rsidR="00FF7237" w:rsidRPr="000C7445" w:rsidRDefault="00FF7237">
      <w:pPr>
        <w:rPr>
          <w:rFonts w:cs="Arial"/>
          <w:lang w:val="ru-RU"/>
        </w:rPr>
      </w:pPr>
    </w:p>
    <w:p w14:paraId="1C5F8D14" w14:textId="77777777" w:rsidR="003413CA" w:rsidRPr="000C7445" w:rsidRDefault="003413CA" w:rsidP="00D41628">
      <w:pPr>
        <w:jc w:val="both"/>
        <w:rPr>
          <w:rFonts w:cs="Arial"/>
          <w:lang w:val="ru-RU"/>
        </w:rPr>
      </w:pPr>
      <w:r>
        <w:rPr>
          <w:rFonts w:cs="Arial"/>
          <w:lang w:val="ru"/>
        </w:rPr>
        <w:t xml:space="preserve">Исходя из этого, Комитет по оценке постановил, что следующие тендеры </w:t>
      </w:r>
      <w:r>
        <w:rPr>
          <w:rFonts w:cs="Arial"/>
          <w:b/>
          <w:bCs/>
          <w:lang w:val="ru"/>
        </w:rPr>
        <w:t xml:space="preserve">не соответствуют требованиям в административном отношении </w:t>
      </w:r>
      <w:r>
        <w:rPr>
          <w:rFonts w:cs="Arial"/>
          <w:lang w:val="ru"/>
        </w:rPr>
        <w:t>и не должны рассматриваться далее:</w:t>
      </w:r>
    </w:p>
    <w:p w14:paraId="18B3F63C" w14:textId="77777777" w:rsidR="003413CA" w:rsidRPr="000C7445" w:rsidRDefault="003413CA" w:rsidP="003413CA">
      <w:pPr>
        <w:rPr>
          <w:rFonts w:cs="Arial"/>
          <w:lang w:val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346"/>
        <w:gridCol w:w="3286"/>
        <w:gridCol w:w="4088"/>
      </w:tblGrid>
      <w:tr w:rsidR="003413CA" w:rsidRPr="00BD5A70" w14:paraId="75C6FE79" w14:textId="77777777" w:rsidTr="00D41628">
        <w:trPr>
          <w:cantSplit/>
          <w:trHeight w:val="690"/>
          <w:tblHeader/>
        </w:trPr>
        <w:tc>
          <w:tcPr>
            <w:tcW w:w="743" w:type="pct"/>
            <w:shd w:val="pct10" w:color="auto" w:fill="FFFFFF"/>
            <w:vAlign w:val="center"/>
          </w:tcPr>
          <w:p w14:paraId="4AFA1797" w14:textId="77777777" w:rsidR="003413CA" w:rsidRPr="00BD5A70" w:rsidRDefault="003413CA" w:rsidP="00862088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"/>
              </w:rPr>
              <w:t>Тендерный пакет №</w:t>
            </w:r>
          </w:p>
        </w:tc>
        <w:tc>
          <w:tcPr>
            <w:tcW w:w="1898" w:type="pct"/>
            <w:shd w:val="pct10" w:color="auto" w:fill="FFFFFF"/>
            <w:vAlign w:val="center"/>
          </w:tcPr>
          <w:p w14:paraId="7767D3BE" w14:textId="77777777" w:rsidR="003413CA" w:rsidRPr="00BD5A70" w:rsidRDefault="003413CA" w:rsidP="00862088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"/>
              </w:rPr>
              <w:t>Наименование участника тендера</w:t>
            </w:r>
          </w:p>
        </w:tc>
        <w:tc>
          <w:tcPr>
            <w:tcW w:w="2358" w:type="pct"/>
            <w:shd w:val="pct10" w:color="auto" w:fill="FFFFFF"/>
            <w:vAlign w:val="center"/>
          </w:tcPr>
          <w:p w14:paraId="653322B2" w14:textId="77777777" w:rsidR="003413CA" w:rsidRPr="00BD5A70" w:rsidRDefault="003413CA" w:rsidP="00F52430">
            <w:pPr>
              <w:keepNext/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"/>
              </w:rPr>
              <w:t>Причина</w:t>
            </w:r>
          </w:p>
        </w:tc>
      </w:tr>
      <w:tr w:rsidR="003413CA" w:rsidRPr="00BD5A70" w14:paraId="6C85B656" w14:textId="77777777" w:rsidTr="00D41628">
        <w:trPr>
          <w:cantSplit/>
          <w:trHeight w:val="690"/>
        </w:trPr>
        <w:tc>
          <w:tcPr>
            <w:tcW w:w="743" w:type="pct"/>
            <w:vAlign w:val="center"/>
          </w:tcPr>
          <w:p w14:paraId="6E1D52CD" w14:textId="77777777" w:rsidR="003413CA" w:rsidRPr="00BD5A70" w:rsidRDefault="003413CA" w:rsidP="003413CA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1898" w:type="pct"/>
            <w:vAlign w:val="center"/>
          </w:tcPr>
          <w:p w14:paraId="75FE8392" w14:textId="77777777" w:rsidR="003413CA" w:rsidRPr="00BD5A70" w:rsidRDefault="003413CA" w:rsidP="003413C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358" w:type="pct"/>
            <w:vAlign w:val="center"/>
          </w:tcPr>
          <w:p w14:paraId="400A770B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  <w:tr w:rsidR="003413CA" w:rsidRPr="00BD5A70" w14:paraId="2C484B0E" w14:textId="77777777" w:rsidTr="00D41628">
        <w:trPr>
          <w:cantSplit/>
          <w:trHeight w:val="690"/>
        </w:trPr>
        <w:tc>
          <w:tcPr>
            <w:tcW w:w="743" w:type="pct"/>
            <w:vAlign w:val="center"/>
          </w:tcPr>
          <w:p w14:paraId="60B0FD2C" w14:textId="77777777" w:rsidR="003413CA" w:rsidRPr="00BD5A70" w:rsidRDefault="003413CA" w:rsidP="003413CA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1898" w:type="pct"/>
            <w:vAlign w:val="center"/>
          </w:tcPr>
          <w:p w14:paraId="00ED6B9D" w14:textId="77777777" w:rsidR="003413CA" w:rsidRPr="00BD5A70" w:rsidRDefault="003413CA" w:rsidP="003413CA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358" w:type="pct"/>
            <w:vAlign w:val="center"/>
          </w:tcPr>
          <w:p w14:paraId="2F46055B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  <w:tr w:rsidR="003413CA" w:rsidRPr="00BD5A70" w14:paraId="5CD9E061" w14:textId="77777777" w:rsidTr="00D41628">
        <w:trPr>
          <w:cantSplit/>
          <w:trHeight w:val="690"/>
        </w:trPr>
        <w:tc>
          <w:tcPr>
            <w:tcW w:w="743" w:type="pct"/>
            <w:vAlign w:val="center"/>
          </w:tcPr>
          <w:p w14:paraId="6C7412A4" w14:textId="77777777" w:rsidR="003413CA" w:rsidRPr="00BD5A70" w:rsidRDefault="003413CA" w:rsidP="003413CA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1898" w:type="pct"/>
            <w:vAlign w:val="center"/>
          </w:tcPr>
          <w:p w14:paraId="3BFC08C3" w14:textId="77777777" w:rsidR="003413CA" w:rsidRPr="00BD5A70" w:rsidRDefault="003413CA" w:rsidP="003413CA">
            <w:pPr>
              <w:spacing w:before="120" w:after="120"/>
              <w:rPr>
                <w:rFonts w:cs="Arial"/>
              </w:rPr>
            </w:pPr>
          </w:p>
        </w:tc>
        <w:tc>
          <w:tcPr>
            <w:tcW w:w="2358" w:type="pct"/>
            <w:vAlign w:val="center"/>
          </w:tcPr>
          <w:p w14:paraId="4EE907B7" w14:textId="77777777" w:rsidR="003413CA" w:rsidRPr="00BD5A70" w:rsidRDefault="003413CA" w:rsidP="003413CA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</w:tbl>
    <w:p w14:paraId="2D81CE78" w14:textId="77777777" w:rsidR="00FF7237" w:rsidRPr="00BD5A70" w:rsidRDefault="00FF7237">
      <w:pPr>
        <w:rPr>
          <w:rFonts w:cs="Arial"/>
        </w:rPr>
      </w:pPr>
    </w:p>
    <w:p w14:paraId="67DA9447" w14:textId="77777777" w:rsidR="00FF7237" w:rsidRPr="00BD5A70" w:rsidRDefault="00FF7237">
      <w:pPr>
        <w:pStyle w:val="Titolo4"/>
        <w:rPr>
          <w:rFonts w:cs="Arial"/>
        </w:rPr>
      </w:pPr>
      <w:r>
        <w:rPr>
          <w:rFonts w:cs="Arial"/>
          <w:lang w:val="ru"/>
        </w:rPr>
        <w:t xml:space="preserve">Техническое соответствие </w:t>
      </w:r>
    </w:p>
    <w:p w14:paraId="47775AF5" w14:textId="77777777" w:rsidR="00FF7237" w:rsidRPr="000C7445" w:rsidRDefault="00FF7237" w:rsidP="00D41628">
      <w:pPr>
        <w:jc w:val="both"/>
        <w:rPr>
          <w:rFonts w:cs="Arial"/>
          <w:lang w:val="ru-RU"/>
        </w:rPr>
      </w:pPr>
      <w:r>
        <w:rPr>
          <w:rFonts w:cs="Arial"/>
          <w:lang w:val="ru"/>
        </w:rPr>
        <w:t xml:space="preserve">Каждый специалист по оценке в составе Комитета по оценке использовал сетку технической оценки (в таблице оценки тендерных предложений), прилагаемую в приложениях, для оценки соответствия каждого из тендеров техническим требованиям тендерного досье. </w:t>
      </w:r>
    </w:p>
    <w:p w14:paraId="48E949D0" w14:textId="77777777" w:rsidR="00FF7237" w:rsidRPr="000C7445" w:rsidRDefault="00FF7237" w:rsidP="00D41628">
      <w:pPr>
        <w:jc w:val="both"/>
        <w:rPr>
          <w:rFonts w:cs="Arial"/>
          <w:lang w:val="ru-RU"/>
        </w:rPr>
      </w:pPr>
    </w:p>
    <w:p w14:paraId="38C17E1D" w14:textId="77777777" w:rsidR="00FF7237" w:rsidRPr="000C7445" w:rsidRDefault="00FF7237" w:rsidP="00D41628">
      <w:pPr>
        <w:jc w:val="both"/>
        <w:rPr>
          <w:rFonts w:cs="Arial"/>
          <w:lang w:val="ru-RU"/>
        </w:rPr>
      </w:pPr>
      <w:r>
        <w:rPr>
          <w:rFonts w:cs="Arial"/>
          <w:lang w:val="ru"/>
        </w:rPr>
        <w:t xml:space="preserve">После обсуждения отдельных выводов специалистов по оценке Комитет по оценке пришел к выводу о том, что следующие тендерные предложения </w:t>
      </w:r>
      <w:r>
        <w:rPr>
          <w:rFonts w:cs="Arial"/>
          <w:b/>
          <w:bCs/>
          <w:lang w:val="ru"/>
        </w:rPr>
        <w:t>не соответствуют требованиям в техническом отношении</w:t>
      </w:r>
      <w:r>
        <w:rPr>
          <w:rFonts w:cs="Arial"/>
          <w:lang w:val="ru"/>
        </w:rPr>
        <w:t xml:space="preserve"> и не должны рассматриваться далее:</w:t>
      </w:r>
    </w:p>
    <w:p w14:paraId="720FF84C" w14:textId="77777777" w:rsidR="00FF7237" w:rsidRPr="000C7445" w:rsidRDefault="00FF7237">
      <w:pPr>
        <w:rPr>
          <w:rFonts w:cs="Arial"/>
          <w:lang w:val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346"/>
        <w:gridCol w:w="3286"/>
        <w:gridCol w:w="4088"/>
      </w:tblGrid>
      <w:tr w:rsidR="003413CA" w:rsidRPr="00BD5A70" w14:paraId="4FF24798" w14:textId="77777777" w:rsidTr="00D41628">
        <w:trPr>
          <w:cantSplit/>
          <w:trHeight w:val="690"/>
          <w:tblHeader/>
        </w:trPr>
        <w:tc>
          <w:tcPr>
            <w:tcW w:w="743" w:type="pct"/>
            <w:shd w:val="pct10" w:color="auto" w:fill="FFFFFF"/>
            <w:vAlign w:val="center"/>
          </w:tcPr>
          <w:p w14:paraId="69B56CAD" w14:textId="77777777" w:rsidR="003413CA" w:rsidRPr="00BD5A70" w:rsidRDefault="003413CA" w:rsidP="00862088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"/>
              </w:rPr>
              <w:lastRenderedPageBreak/>
              <w:t>Тендерный пакет №</w:t>
            </w:r>
          </w:p>
        </w:tc>
        <w:tc>
          <w:tcPr>
            <w:tcW w:w="1898" w:type="pct"/>
            <w:shd w:val="pct10" w:color="auto" w:fill="FFFFFF"/>
            <w:vAlign w:val="center"/>
          </w:tcPr>
          <w:p w14:paraId="7017066E" w14:textId="77777777" w:rsidR="003413CA" w:rsidRPr="00BD5A70" w:rsidRDefault="003413CA" w:rsidP="00862088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"/>
              </w:rPr>
              <w:t>Наименование участника тендера</w:t>
            </w:r>
          </w:p>
        </w:tc>
        <w:tc>
          <w:tcPr>
            <w:tcW w:w="2358" w:type="pct"/>
            <w:shd w:val="pct10" w:color="auto" w:fill="FFFFFF"/>
            <w:vAlign w:val="center"/>
          </w:tcPr>
          <w:p w14:paraId="3E5EA525" w14:textId="77777777" w:rsidR="003413CA" w:rsidRPr="00BD5A70" w:rsidRDefault="003413CA" w:rsidP="00F52430">
            <w:pPr>
              <w:keepNext/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"/>
              </w:rPr>
              <w:t>Причина</w:t>
            </w:r>
          </w:p>
        </w:tc>
      </w:tr>
      <w:tr w:rsidR="003413CA" w:rsidRPr="00BD5A70" w14:paraId="7FBED327" w14:textId="77777777" w:rsidTr="00D41628">
        <w:trPr>
          <w:cantSplit/>
          <w:trHeight w:val="690"/>
        </w:trPr>
        <w:tc>
          <w:tcPr>
            <w:tcW w:w="743" w:type="pct"/>
            <w:vAlign w:val="center"/>
          </w:tcPr>
          <w:p w14:paraId="1CB1732E" w14:textId="77777777" w:rsidR="003413CA" w:rsidRPr="00BD5A70" w:rsidRDefault="003413CA" w:rsidP="00C14A7F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1898" w:type="pct"/>
            <w:vAlign w:val="center"/>
          </w:tcPr>
          <w:p w14:paraId="5E9C60D5" w14:textId="77777777" w:rsidR="003413CA" w:rsidRPr="00BD5A70" w:rsidRDefault="003413CA" w:rsidP="00C14A7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358" w:type="pct"/>
            <w:vAlign w:val="center"/>
          </w:tcPr>
          <w:p w14:paraId="303BC344" w14:textId="77777777" w:rsidR="003413CA" w:rsidRPr="00BD5A70" w:rsidRDefault="003413CA" w:rsidP="00C14A7F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  <w:tr w:rsidR="003413CA" w:rsidRPr="00BD5A70" w14:paraId="1AB4AB1D" w14:textId="77777777" w:rsidTr="00D41628">
        <w:trPr>
          <w:cantSplit/>
          <w:trHeight w:val="690"/>
        </w:trPr>
        <w:tc>
          <w:tcPr>
            <w:tcW w:w="743" w:type="pct"/>
            <w:vAlign w:val="center"/>
          </w:tcPr>
          <w:p w14:paraId="56B77BFF" w14:textId="77777777" w:rsidR="003413CA" w:rsidRPr="00BD5A70" w:rsidRDefault="003413CA" w:rsidP="00C14A7F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1898" w:type="pct"/>
            <w:vAlign w:val="center"/>
          </w:tcPr>
          <w:p w14:paraId="581CD727" w14:textId="77777777" w:rsidR="003413CA" w:rsidRPr="00BD5A70" w:rsidRDefault="003413CA" w:rsidP="00C14A7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358" w:type="pct"/>
            <w:vAlign w:val="center"/>
          </w:tcPr>
          <w:p w14:paraId="6576D420" w14:textId="77777777" w:rsidR="003413CA" w:rsidRPr="00BD5A70" w:rsidRDefault="003413CA" w:rsidP="00C14A7F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  <w:tr w:rsidR="003413CA" w:rsidRPr="00BD5A70" w14:paraId="42340C1E" w14:textId="77777777" w:rsidTr="00D41628">
        <w:trPr>
          <w:cantSplit/>
          <w:trHeight w:val="690"/>
        </w:trPr>
        <w:tc>
          <w:tcPr>
            <w:tcW w:w="743" w:type="pct"/>
            <w:vAlign w:val="center"/>
          </w:tcPr>
          <w:p w14:paraId="2015490F" w14:textId="77777777" w:rsidR="003413CA" w:rsidRPr="00BD5A70" w:rsidRDefault="003413CA" w:rsidP="00C14A7F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1898" w:type="pct"/>
            <w:vAlign w:val="center"/>
          </w:tcPr>
          <w:p w14:paraId="6BA08FE6" w14:textId="77777777" w:rsidR="003413CA" w:rsidRPr="00BD5A70" w:rsidRDefault="003413CA" w:rsidP="00C14A7F">
            <w:pPr>
              <w:spacing w:before="120" w:after="120"/>
              <w:rPr>
                <w:rFonts w:cs="Arial"/>
              </w:rPr>
            </w:pPr>
          </w:p>
        </w:tc>
        <w:tc>
          <w:tcPr>
            <w:tcW w:w="2358" w:type="pct"/>
            <w:vAlign w:val="center"/>
          </w:tcPr>
          <w:p w14:paraId="09BD6764" w14:textId="77777777" w:rsidR="003413CA" w:rsidRPr="00BD5A70" w:rsidRDefault="003413CA" w:rsidP="00C14A7F">
            <w:pPr>
              <w:keepNext/>
              <w:spacing w:before="120" w:after="120"/>
              <w:rPr>
                <w:rFonts w:cs="Arial"/>
                <w:sz w:val="22"/>
              </w:rPr>
            </w:pPr>
          </w:p>
        </w:tc>
      </w:tr>
    </w:tbl>
    <w:p w14:paraId="61C1BBDB" w14:textId="77777777" w:rsidR="003413CA" w:rsidRPr="00BD5A70" w:rsidRDefault="003413CA">
      <w:pPr>
        <w:rPr>
          <w:rFonts w:cs="Arial"/>
        </w:rPr>
      </w:pPr>
    </w:p>
    <w:p w14:paraId="60509C0B" w14:textId="77777777" w:rsidR="00FF7237" w:rsidRPr="00BD5A70" w:rsidRDefault="00FF7237" w:rsidP="00141C22">
      <w:pPr>
        <w:pStyle w:val="Titolo3"/>
        <w:shd w:val="clear" w:color="auto" w:fill="D9D9D9"/>
      </w:pPr>
      <w:bookmarkStart w:id="13" w:name="_Toc75856784"/>
      <w:bookmarkStart w:id="14" w:name="_Toc130204417"/>
      <w:r>
        <w:rPr>
          <w:lang w:val="ru"/>
        </w:rPr>
        <w:t>Заключение</w:t>
      </w:r>
      <w:bookmarkEnd w:id="13"/>
      <w:bookmarkEnd w:id="14"/>
    </w:p>
    <w:p w14:paraId="0F7F49E2" w14:textId="77777777" w:rsidR="00B4235C" w:rsidRPr="00BD5A70" w:rsidRDefault="00B4235C">
      <w:pPr>
        <w:rPr>
          <w:rFonts w:cs="Arial"/>
        </w:rPr>
      </w:pPr>
    </w:p>
    <w:p w14:paraId="21422E8E" w14:textId="77777777" w:rsidR="00AC4E6B" w:rsidRPr="000C7445" w:rsidRDefault="00AC4E6B">
      <w:pPr>
        <w:rPr>
          <w:rFonts w:cs="Arial"/>
          <w:lang w:val="ru-RU"/>
        </w:rPr>
      </w:pPr>
      <w:r>
        <w:rPr>
          <w:rFonts w:cs="Arial"/>
          <w:b/>
          <w:bCs/>
          <w:color w:val="FF0000"/>
          <w:u w:val="single"/>
          <w:lang w:val="ru"/>
        </w:rPr>
        <w:t>ВАРИАНТ</w:t>
      </w:r>
      <w:proofErr w:type="gramStart"/>
      <w:r>
        <w:rPr>
          <w:rFonts w:cs="Arial"/>
          <w:b/>
          <w:bCs/>
          <w:color w:val="FF0000"/>
          <w:u w:val="single"/>
          <w:lang w:val="ru"/>
        </w:rPr>
        <w:t>:</w:t>
      </w:r>
      <w:r>
        <w:rPr>
          <w:rFonts w:cs="Arial"/>
          <w:color w:val="FF0000"/>
          <w:lang w:val="ru"/>
        </w:rPr>
        <w:t xml:space="preserve"> </w:t>
      </w:r>
      <w:r>
        <w:rPr>
          <w:rFonts w:cs="Arial"/>
          <w:lang w:val="ru"/>
        </w:rPr>
        <w:t>Было</w:t>
      </w:r>
      <w:proofErr w:type="gramEnd"/>
      <w:r>
        <w:rPr>
          <w:rFonts w:cs="Arial"/>
          <w:lang w:val="ru"/>
        </w:rPr>
        <w:t xml:space="preserve"> решено по-разному взвесить 3 аналитические степени следующим образом:</w:t>
      </w:r>
    </w:p>
    <w:p w14:paraId="0300D40F" w14:textId="77777777" w:rsidR="00AC4E6B" w:rsidRPr="000C7445" w:rsidRDefault="00AC4E6B" w:rsidP="00243985">
      <w:pPr>
        <w:ind w:firstLine="720"/>
        <w:rPr>
          <w:rFonts w:cs="Arial"/>
          <w:lang w:val="ru-RU"/>
        </w:rPr>
      </w:pPr>
      <w:r>
        <w:rPr>
          <w:rFonts w:cs="Arial"/>
          <w:lang w:val="ru"/>
        </w:rPr>
        <w:t xml:space="preserve">Административная оценка = коэффициент </w:t>
      </w:r>
      <w:r>
        <w:rPr>
          <w:rFonts w:cs="Arial"/>
          <w:highlight w:val="yellow"/>
          <w:lang w:val="ru"/>
        </w:rPr>
        <w:t>XX</w:t>
      </w:r>
      <w:r>
        <w:rPr>
          <w:rFonts w:cs="Arial"/>
          <w:lang w:val="ru"/>
        </w:rPr>
        <w:t xml:space="preserve"> итоговой оценки</w:t>
      </w:r>
    </w:p>
    <w:p w14:paraId="51D3E817" w14:textId="77777777" w:rsidR="00AC4E6B" w:rsidRPr="000C7445" w:rsidRDefault="00AC4E6B" w:rsidP="00243985">
      <w:pPr>
        <w:ind w:firstLine="720"/>
        <w:rPr>
          <w:rFonts w:cs="Arial"/>
          <w:lang w:val="ru-RU"/>
        </w:rPr>
      </w:pPr>
      <w:r>
        <w:rPr>
          <w:rFonts w:cs="Arial"/>
          <w:lang w:val="ru"/>
        </w:rPr>
        <w:t xml:space="preserve">Техническая оценка = коэффициент </w:t>
      </w:r>
      <w:r>
        <w:rPr>
          <w:rFonts w:cs="Arial"/>
          <w:highlight w:val="yellow"/>
          <w:lang w:val="ru"/>
        </w:rPr>
        <w:t>XX</w:t>
      </w:r>
      <w:r>
        <w:rPr>
          <w:rFonts w:cs="Arial"/>
          <w:lang w:val="ru"/>
        </w:rPr>
        <w:t xml:space="preserve"> итоговой оценки</w:t>
      </w:r>
    </w:p>
    <w:p w14:paraId="497B8D61" w14:textId="77777777" w:rsidR="00AC4E6B" w:rsidRPr="000C7445" w:rsidRDefault="00AC4E6B" w:rsidP="00243985">
      <w:pPr>
        <w:ind w:firstLine="720"/>
        <w:rPr>
          <w:rFonts w:cs="Arial"/>
          <w:lang w:val="ru-RU"/>
        </w:rPr>
      </w:pPr>
      <w:r>
        <w:rPr>
          <w:rFonts w:cs="Arial"/>
          <w:lang w:val="ru"/>
        </w:rPr>
        <w:t xml:space="preserve">Финансовая оценка = коэффициент </w:t>
      </w:r>
      <w:r>
        <w:rPr>
          <w:rFonts w:cs="Arial"/>
          <w:highlight w:val="yellow"/>
          <w:lang w:val="ru"/>
        </w:rPr>
        <w:t>XX</w:t>
      </w:r>
      <w:r>
        <w:rPr>
          <w:rFonts w:cs="Arial"/>
          <w:lang w:val="ru"/>
        </w:rPr>
        <w:t xml:space="preserve"> итоговой оценки.</w:t>
      </w:r>
    </w:p>
    <w:p w14:paraId="23EB969C" w14:textId="77777777" w:rsidR="00AC4E6B" w:rsidRPr="000C7445" w:rsidRDefault="00AC4E6B">
      <w:pPr>
        <w:rPr>
          <w:rFonts w:cs="Arial"/>
          <w:lang w:val="ru-RU"/>
        </w:rPr>
      </w:pPr>
    </w:p>
    <w:p w14:paraId="1FFDA661" w14:textId="77777777" w:rsidR="005836E3" w:rsidRPr="000C7445" w:rsidRDefault="00531AA7" w:rsidP="00AF40F6">
      <w:pPr>
        <w:keepNext/>
        <w:jc w:val="both"/>
        <w:rPr>
          <w:rFonts w:cs="Arial"/>
          <w:lang w:val="ru-RU"/>
        </w:rPr>
      </w:pPr>
      <w:proofErr w:type="gramStart"/>
      <w:r>
        <w:rPr>
          <w:rFonts w:cs="Arial"/>
          <w:lang w:val="ru"/>
        </w:rPr>
        <w:t>согласно вкладке</w:t>
      </w:r>
      <w:proofErr w:type="gramEnd"/>
      <w:r>
        <w:rPr>
          <w:rFonts w:cs="Arial"/>
          <w:lang w:val="ru"/>
        </w:rPr>
        <w:t xml:space="preserve"> «Сводка» (в таблицах оценки тендерных предложений), окончательный рейтинг предложений, соответствующих требованиям, после применения взвешенных коэффициентов выглядит следующим образом:</w:t>
      </w:r>
    </w:p>
    <w:p w14:paraId="60E4AA8F" w14:textId="77777777" w:rsidR="005836E3" w:rsidRPr="000C7445" w:rsidRDefault="005836E3" w:rsidP="00AF40F6">
      <w:pPr>
        <w:keepNext/>
        <w:jc w:val="both"/>
        <w:rPr>
          <w:rFonts w:cs="Arial"/>
          <w:lang w:val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3630"/>
        <w:gridCol w:w="1899"/>
      </w:tblGrid>
      <w:tr w:rsidR="005836E3" w:rsidRPr="00BD5A70" w14:paraId="0A1EBAED" w14:textId="77777777" w:rsidTr="001F1948">
        <w:tc>
          <w:tcPr>
            <w:tcW w:w="1134" w:type="dxa"/>
            <w:shd w:val="clear" w:color="auto" w:fill="auto"/>
          </w:tcPr>
          <w:p w14:paraId="3F700930" w14:textId="77777777" w:rsidR="005836E3" w:rsidRPr="00BD5A70" w:rsidRDefault="005836E3" w:rsidP="001F1948">
            <w:pPr>
              <w:keepNext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ru"/>
              </w:rPr>
              <w:t>Конверт №</w:t>
            </w:r>
          </w:p>
        </w:tc>
        <w:tc>
          <w:tcPr>
            <w:tcW w:w="3630" w:type="dxa"/>
            <w:shd w:val="clear" w:color="auto" w:fill="auto"/>
          </w:tcPr>
          <w:p w14:paraId="481D5D17" w14:textId="77777777" w:rsidR="005836E3" w:rsidRPr="00BD5A70" w:rsidRDefault="005836E3" w:rsidP="001F1948">
            <w:pPr>
              <w:keepNext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ru"/>
              </w:rPr>
              <w:t>Название компании</w:t>
            </w:r>
          </w:p>
        </w:tc>
        <w:tc>
          <w:tcPr>
            <w:tcW w:w="1899" w:type="dxa"/>
            <w:shd w:val="clear" w:color="auto" w:fill="auto"/>
          </w:tcPr>
          <w:p w14:paraId="29890F5A" w14:textId="77777777" w:rsidR="005836E3" w:rsidRPr="00BD5A70" w:rsidRDefault="005836E3" w:rsidP="001F1948">
            <w:pPr>
              <w:keepNext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ru"/>
              </w:rPr>
              <w:t>Итоговая взвешенная оценка</w:t>
            </w:r>
          </w:p>
        </w:tc>
      </w:tr>
      <w:tr w:rsidR="005836E3" w:rsidRPr="00BD5A70" w14:paraId="07A8E998" w14:textId="77777777" w:rsidTr="001F1948">
        <w:tc>
          <w:tcPr>
            <w:tcW w:w="1134" w:type="dxa"/>
            <w:shd w:val="clear" w:color="auto" w:fill="auto"/>
          </w:tcPr>
          <w:p w14:paraId="57F5D7A9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3630" w:type="dxa"/>
            <w:shd w:val="clear" w:color="auto" w:fill="auto"/>
          </w:tcPr>
          <w:p w14:paraId="0D5F45C4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1B041BBD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</w:tr>
      <w:tr w:rsidR="005836E3" w:rsidRPr="00BD5A70" w14:paraId="5E56D0BF" w14:textId="77777777" w:rsidTr="001F1948">
        <w:tc>
          <w:tcPr>
            <w:tcW w:w="1134" w:type="dxa"/>
            <w:shd w:val="clear" w:color="auto" w:fill="auto"/>
          </w:tcPr>
          <w:p w14:paraId="76162E14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3630" w:type="dxa"/>
            <w:shd w:val="clear" w:color="auto" w:fill="auto"/>
          </w:tcPr>
          <w:p w14:paraId="4BF2A881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373744CA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</w:tr>
      <w:tr w:rsidR="005836E3" w:rsidRPr="00BD5A70" w14:paraId="1516EC22" w14:textId="77777777" w:rsidTr="001F1948">
        <w:tc>
          <w:tcPr>
            <w:tcW w:w="1134" w:type="dxa"/>
            <w:shd w:val="clear" w:color="auto" w:fill="auto"/>
          </w:tcPr>
          <w:p w14:paraId="439327A6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3630" w:type="dxa"/>
            <w:shd w:val="clear" w:color="auto" w:fill="auto"/>
          </w:tcPr>
          <w:p w14:paraId="7F64D33B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5A088D05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</w:tr>
      <w:tr w:rsidR="005836E3" w:rsidRPr="00BD5A70" w14:paraId="3D55EB50" w14:textId="77777777" w:rsidTr="001F1948">
        <w:tc>
          <w:tcPr>
            <w:tcW w:w="1134" w:type="dxa"/>
            <w:shd w:val="clear" w:color="auto" w:fill="auto"/>
          </w:tcPr>
          <w:p w14:paraId="2B6D9CBC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3630" w:type="dxa"/>
            <w:shd w:val="clear" w:color="auto" w:fill="auto"/>
          </w:tcPr>
          <w:p w14:paraId="27229D9B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76051DD2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</w:tr>
      <w:tr w:rsidR="005836E3" w:rsidRPr="00BD5A70" w14:paraId="6638838B" w14:textId="77777777" w:rsidTr="001F1948">
        <w:tc>
          <w:tcPr>
            <w:tcW w:w="1134" w:type="dxa"/>
            <w:shd w:val="clear" w:color="auto" w:fill="auto"/>
          </w:tcPr>
          <w:p w14:paraId="243136CD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3630" w:type="dxa"/>
            <w:shd w:val="clear" w:color="auto" w:fill="auto"/>
          </w:tcPr>
          <w:p w14:paraId="0F102F0B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7AE960EE" w14:textId="77777777" w:rsidR="005836E3" w:rsidRPr="00BD5A70" w:rsidRDefault="005836E3" w:rsidP="001F1948">
            <w:pPr>
              <w:keepNext/>
              <w:jc w:val="both"/>
              <w:rPr>
                <w:rFonts w:cs="Arial"/>
              </w:rPr>
            </w:pPr>
          </w:p>
        </w:tc>
      </w:tr>
    </w:tbl>
    <w:p w14:paraId="211B59B8" w14:textId="77777777" w:rsidR="005836E3" w:rsidRPr="00BD5A70" w:rsidRDefault="005836E3" w:rsidP="00AF40F6">
      <w:pPr>
        <w:keepNext/>
        <w:jc w:val="both"/>
        <w:rPr>
          <w:rFonts w:cs="Arial"/>
        </w:rPr>
      </w:pPr>
    </w:p>
    <w:p w14:paraId="314DA2BD" w14:textId="77777777" w:rsidR="005836E3" w:rsidRPr="00BD5A70" w:rsidRDefault="005836E3" w:rsidP="00AF40F6">
      <w:pPr>
        <w:keepNext/>
        <w:jc w:val="both"/>
        <w:rPr>
          <w:rFonts w:cs="Arial"/>
        </w:rPr>
      </w:pPr>
    </w:p>
    <w:p w14:paraId="0A68FDA9" w14:textId="77777777" w:rsidR="00FF7237" w:rsidRPr="000C7445" w:rsidRDefault="007025DF" w:rsidP="00AF40F6">
      <w:pPr>
        <w:keepNext/>
        <w:jc w:val="both"/>
        <w:rPr>
          <w:rFonts w:cs="Arial"/>
          <w:lang w:val="ru-RU"/>
        </w:rPr>
      </w:pPr>
      <w:r>
        <w:rPr>
          <w:rFonts w:cs="Arial"/>
          <w:lang w:val="ru"/>
        </w:rPr>
        <w:t>В связи с этим Комитет по оценке рекомендует присудить следующий (-е) контракт (-ы):</w:t>
      </w:r>
    </w:p>
    <w:p w14:paraId="78D7FD6E" w14:textId="77777777" w:rsidR="00531AA7" w:rsidRPr="000C7445" w:rsidRDefault="00531AA7" w:rsidP="00AF40F6">
      <w:pPr>
        <w:keepNext/>
        <w:jc w:val="both"/>
        <w:rPr>
          <w:rFonts w:cs="Arial"/>
          <w:lang w:val="ru-RU"/>
        </w:rPr>
      </w:pPr>
    </w:p>
    <w:tbl>
      <w:tblPr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"/>
        <w:gridCol w:w="1346"/>
        <w:gridCol w:w="2997"/>
        <w:gridCol w:w="1811"/>
        <w:gridCol w:w="1306"/>
      </w:tblGrid>
      <w:tr w:rsidR="0088687E" w:rsidRPr="00BD5A70" w14:paraId="27832C22" w14:textId="77777777" w:rsidTr="0088687E">
        <w:trPr>
          <w:cantSplit/>
          <w:trHeight w:val="817"/>
          <w:tblHeader/>
        </w:trPr>
        <w:tc>
          <w:tcPr>
            <w:tcW w:w="57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10" w:color="auto" w:fill="FFFFFF"/>
          </w:tcPr>
          <w:p w14:paraId="11225847" w14:textId="77777777" w:rsidR="0088687E" w:rsidRPr="00BD5A70" w:rsidRDefault="0088687E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ru"/>
              </w:rPr>
              <w:t>Номер лота</w:t>
            </w:r>
          </w:p>
        </w:tc>
        <w:tc>
          <w:tcPr>
            <w:tcW w:w="68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10" w:color="auto" w:fill="FFFFFF"/>
          </w:tcPr>
          <w:p w14:paraId="6DA1643F" w14:textId="77777777" w:rsidR="0088687E" w:rsidRPr="00BD5A70" w:rsidRDefault="0088687E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ru"/>
              </w:rPr>
              <w:t>Тендерный пакет №</w:t>
            </w:r>
          </w:p>
        </w:tc>
        <w:tc>
          <w:tcPr>
            <w:tcW w:w="182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10" w:color="auto" w:fill="FFFFFF"/>
          </w:tcPr>
          <w:p w14:paraId="638FB786" w14:textId="77777777" w:rsidR="0088687E" w:rsidRPr="00BD5A70" w:rsidRDefault="0088687E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ru"/>
              </w:rPr>
              <w:t>Наименование участника тендера</w:t>
            </w:r>
          </w:p>
        </w:tc>
        <w:tc>
          <w:tcPr>
            <w:tcW w:w="1114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10" w:color="auto" w:fill="FFFFFF"/>
          </w:tcPr>
          <w:p w14:paraId="1B808C96" w14:textId="77777777" w:rsidR="0088687E" w:rsidRPr="000C7445" w:rsidRDefault="0088687E">
            <w:pPr>
              <w:keepNext/>
              <w:spacing w:before="120" w:after="120"/>
              <w:jc w:val="center"/>
              <w:rPr>
                <w:rFonts w:cs="Arial"/>
                <w:b/>
                <w:sz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lang w:val="ru"/>
              </w:rPr>
              <w:t>Финансовое предложение</w:t>
            </w:r>
            <w:r>
              <w:rPr>
                <w:rFonts w:cs="Arial"/>
                <w:sz w:val="20"/>
                <w:lang w:val="ru"/>
              </w:rPr>
              <w:br/>
            </w:r>
            <w:r>
              <w:rPr>
                <w:rFonts w:cs="Arial"/>
                <w:sz w:val="16"/>
                <w:lang w:val="ru"/>
              </w:rPr>
              <w:t>[после арифметической корректировки]</w:t>
            </w:r>
            <w:r>
              <w:rPr>
                <w:rFonts w:cs="Arial"/>
                <w:sz w:val="16"/>
                <w:lang w:val="ru"/>
              </w:rPr>
              <w:br/>
            </w:r>
            <w:r>
              <w:rPr>
                <w:rFonts w:cs="Arial"/>
                <w:b/>
                <w:bCs/>
                <w:sz w:val="20"/>
                <w:highlight w:val="yellow"/>
                <w:lang w:val="ru"/>
              </w:rPr>
              <w:t>(валюта)</w:t>
            </w:r>
          </w:p>
        </w:tc>
        <w:tc>
          <w:tcPr>
            <w:tcW w:w="807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10" w:color="auto" w:fill="FFFFFF"/>
          </w:tcPr>
          <w:p w14:paraId="2D9E2877" w14:textId="3909D2AA" w:rsidR="0088687E" w:rsidRPr="00BD5A70" w:rsidRDefault="0088687E" w:rsidP="00F52430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ru"/>
              </w:rPr>
              <w:t>Стоимость контракта</w:t>
            </w:r>
            <w:r>
              <w:rPr>
                <w:rFonts w:cs="Arial"/>
                <w:b/>
                <w:bCs/>
                <w:sz w:val="20"/>
                <w:lang w:val="ru"/>
              </w:rPr>
              <w:br/>
            </w:r>
            <w:r>
              <w:rPr>
                <w:rFonts w:cs="Arial"/>
                <w:b/>
                <w:bCs/>
                <w:sz w:val="20"/>
                <w:highlight w:val="yellow"/>
                <w:lang w:val="ru"/>
              </w:rPr>
              <w:t>(валюта)</w:t>
            </w:r>
          </w:p>
        </w:tc>
      </w:tr>
      <w:tr w:rsidR="0088687E" w:rsidRPr="00BD5A70" w14:paraId="6A388265" w14:textId="77777777" w:rsidTr="0088687E">
        <w:trPr>
          <w:cantSplit/>
          <w:trHeight w:val="509"/>
        </w:trPr>
        <w:tc>
          <w:tcPr>
            <w:tcW w:w="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40D217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6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8AFF8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3A16B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  <w:tc>
          <w:tcPr>
            <w:tcW w:w="1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48E65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76A5E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</w:tr>
      <w:tr w:rsidR="0088687E" w:rsidRPr="00BD5A70" w14:paraId="14A95B60" w14:textId="77777777" w:rsidTr="0088687E">
        <w:trPr>
          <w:cantSplit/>
          <w:trHeight w:val="429"/>
        </w:trPr>
        <w:tc>
          <w:tcPr>
            <w:tcW w:w="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EF57CD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6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0817A8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806D1B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  <w:tc>
          <w:tcPr>
            <w:tcW w:w="1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6A649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  <w:tc>
          <w:tcPr>
            <w:tcW w:w="8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61390" w14:textId="77777777" w:rsidR="0088687E" w:rsidRPr="00BD5A70" w:rsidRDefault="0088687E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</w:tr>
    </w:tbl>
    <w:p w14:paraId="4023201B" w14:textId="77777777" w:rsidR="00FF7237" w:rsidRPr="00BD5A70" w:rsidRDefault="00FF7237">
      <w:pPr>
        <w:rPr>
          <w:rFonts w:cs="Arial"/>
        </w:rPr>
      </w:pPr>
    </w:p>
    <w:p w14:paraId="1E93886C" w14:textId="77777777" w:rsidR="00FF7237" w:rsidRPr="00BD5A70" w:rsidRDefault="00FF7237" w:rsidP="00141C22">
      <w:pPr>
        <w:pStyle w:val="Titolo3"/>
        <w:shd w:val="clear" w:color="auto" w:fill="D9D9D9"/>
      </w:pPr>
      <w:bookmarkStart w:id="15" w:name="_Toc75856785"/>
      <w:bookmarkStart w:id="16" w:name="_Toc130204418"/>
      <w:r>
        <w:rPr>
          <w:lang w:val="ru"/>
        </w:rPr>
        <w:lastRenderedPageBreak/>
        <w:t>Подписи</w:t>
      </w:r>
      <w:bookmarkEnd w:id="15"/>
      <w:bookmarkEnd w:id="16"/>
    </w:p>
    <w:p w14:paraId="1CE55E32" w14:textId="7D1126DC" w:rsidR="00243985" w:rsidRDefault="00243985" w:rsidP="00243985">
      <w:pPr>
        <w:rPr>
          <w:rFonts w:cs="Arial"/>
        </w:rPr>
      </w:pPr>
    </w:p>
    <w:p w14:paraId="160CBD23" w14:textId="6E16EBC9" w:rsidR="009976B9" w:rsidRDefault="009976B9" w:rsidP="00243985">
      <w:pPr>
        <w:rPr>
          <w:rFonts w:cs="Arial"/>
        </w:rPr>
      </w:pPr>
    </w:p>
    <w:p w14:paraId="006061C1" w14:textId="77777777" w:rsidR="009976B9" w:rsidRDefault="009976B9" w:rsidP="00243985">
      <w:pPr>
        <w:rPr>
          <w:rFonts w:cs="Arial"/>
        </w:rPr>
      </w:pPr>
    </w:p>
    <w:tbl>
      <w:tblPr>
        <w:tblW w:w="9251" w:type="dxa"/>
        <w:tblInd w:w="-318" w:type="dxa"/>
        <w:tblLook w:val="04A0" w:firstRow="1" w:lastRow="0" w:firstColumn="1" w:lastColumn="0" w:noHBand="0" w:noVBand="1"/>
      </w:tblPr>
      <w:tblGrid>
        <w:gridCol w:w="272"/>
        <w:gridCol w:w="756"/>
        <w:gridCol w:w="994"/>
        <w:gridCol w:w="283"/>
        <w:gridCol w:w="181"/>
        <w:gridCol w:w="283"/>
        <w:gridCol w:w="962"/>
        <w:gridCol w:w="573"/>
        <w:gridCol w:w="272"/>
        <w:gridCol w:w="464"/>
        <w:gridCol w:w="885"/>
        <w:gridCol w:w="774"/>
        <w:gridCol w:w="284"/>
        <w:gridCol w:w="464"/>
        <w:gridCol w:w="1346"/>
        <w:gridCol w:w="458"/>
      </w:tblGrid>
      <w:tr w:rsidR="009976B9" w:rsidRPr="009976B9" w14:paraId="797AC42E" w14:textId="77777777" w:rsidTr="009976B9">
        <w:trPr>
          <w:trHeight w:val="525"/>
        </w:trPr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565DE" w14:textId="0EC95700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Лицо, ответственное за закупки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C1A527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9A927" w14:textId="0DB1AEA5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Лицо, ответственное за оплату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B0ACB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A9EE7B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Лицо, управляющее программой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EAB45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C532FC" w14:textId="77777777" w:rsid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713FA5E" w14:textId="77777777" w:rsid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7CC6E0B" w14:textId="5478D22C" w:rsid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Процесс проверки лица</w:t>
            </w:r>
          </w:p>
          <w:p w14:paraId="6835CFFA" w14:textId="77777777" w:rsid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A6D2D96" w14:textId="78A6A5ED" w:rsidR="009976B9" w:rsidRPr="009976B9" w:rsidRDefault="009976B9" w:rsidP="000C7445">
            <w:pPr>
              <w:rPr>
                <w:rFonts w:cs="Arial"/>
                <w:sz w:val="20"/>
                <w:szCs w:val="20"/>
              </w:rPr>
            </w:pPr>
          </w:p>
        </w:tc>
      </w:tr>
      <w:tr w:rsidR="009976B9" w:rsidRPr="009976B9" w14:paraId="22E54827" w14:textId="77777777" w:rsidTr="009976B9">
        <w:trPr>
          <w:trHeight w:val="1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5201A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D8E57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A740C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2E566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74942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21C3B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1C034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74A48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97942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DAF4B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AB3AD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BCF1D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</w:tr>
      <w:tr w:rsidR="009976B9" w:rsidRPr="009976B9" w14:paraId="1FD6C9D0" w14:textId="77777777" w:rsidTr="009976B9">
        <w:trPr>
          <w:trHeight w:val="315"/>
        </w:trPr>
        <w:tc>
          <w:tcPr>
            <w:tcW w:w="20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0DD7FC" w14:textId="77777777" w:rsidR="009976B9" w:rsidRPr="009976B9" w:rsidRDefault="009976B9" w:rsidP="009976B9">
            <w:pPr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  <w:lang w:val="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3BF65" w14:textId="77777777" w:rsidR="009976B9" w:rsidRPr="009976B9" w:rsidRDefault="009976B9" w:rsidP="009976B9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ru"/>
              </w:rPr>
              <w:t> 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724395" w14:textId="77777777" w:rsidR="009976B9" w:rsidRPr="009976B9" w:rsidRDefault="009976B9" w:rsidP="009976B9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  <w:lang w:val="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78651" w14:textId="77777777" w:rsidR="009976B9" w:rsidRPr="009976B9" w:rsidRDefault="009976B9" w:rsidP="009976B9">
            <w:pPr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  <w:lang w:val="ru"/>
              </w:rPr>
              <w:t> 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08AD71" w14:textId="77777777" w:rsidR="009976B9" w:rsidRPr="009976B9" w:rsidRDefault="009976B9" w:rsidP="009976B9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  <w:lang w:val="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27DA0" w14:textId="77777777" w:rsidR="009976B9" w:rsidRPr="009976B9" w:rsidRDefault="009976B9" w:rsidP="009976B9">
            <w:pPr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  <w:lang w:val="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CA3819" w14:textId="77777777" w:rsidR="009976B9" w:rsidRPr="009976B9" w:rsidRDefault="009976B9" w:rsidP="009976B9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  <w:lang w:val="ru"/>
              </w:rPr>
              <w:t> </w:t>
            </w:r>
          </w:p>
        </w:tc>
      </w:tr>
      <w:tr w:rsidR="009976B9" w:rsidRPr="009976B9" w14:paraId="781ED660" w14:textId="77777777" w:rsidTr="009976B9">
        <w:trPr>
          <w:trHeight w:val="285"/>
        </w:trPr>
        <w:tc>
          <w:tcPr>
            <w:tcW w:w="202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08E2EB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ФИО покупателя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F60740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199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80C65D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ФИО плательщика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46CCC1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29E254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ФИО руководителя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DC7EAB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F42AE7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ФИО утверждающего лица</w:t>
            </w:r>
          </w:p>
        </w:tc>
      </w:tr>
      <w:tr w:rsidR="009976B9" w:rsidRPr="009976B9" w14:paraId="0CCC5218" w14:textId="77777777" w:rsidTr="009976B9">
        <w:trPr>
          <w:trHeight w:val="1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1327D2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EB8260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F5639C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FB1D22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996370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88A177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A75401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4E9B48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A7E8BA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982406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AAEF25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A526BF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</w:tr>
      <w:tr w:rsidR="009976B9" w:rsidRPr="009976B9" w14:paraId="42A9D3F2" w14:textId="77777777" w:rsidTr="009976B9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761AFE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F6458E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D75D22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1CC7A0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0234314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D13D24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D2376FA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983A0C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EF7C769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</w:tr>
      <w:tr w:rsidR="009976B9" w:rsidRPr="009976B9" w14:paraId="6A6F60D2" w14:textId="77777777" w:rsidTr="009976B9">
        <w:trPr>
          <w:trHeight w:val="285"/>
        </w:trPr>
        <w:tc>
          <w:tcPr>
            <w:tcW w:w="202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34CBBA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Должность покупателя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7845C1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199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18FD3D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Должность плательщика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B7FE61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A69453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Должность руководителя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94F9C3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3E7DDE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Должность утверждающего лица</w:t>
            </w:r>
          </w:p>
        </w:tc>
      </w:tr>
      <w:tr w:rsidR="009976B9" w:rsidRPr="009976B9" w14:paraId="530D5698" w14:textId="77777777" w:rsidTr="009976B9">
        <w:trPr>
          <w:trHeight w:val="1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25AD0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C2C76F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69E069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D31C58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F35414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ED63B3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169B19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48FC74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09B6F8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BD3736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FBFAC4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D01DA0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</w:tr>
      <w:tr w:rsidR="009976B9" w:rsidRPr="009976B9" w14:paraId="53CC2B62" w14:textId="77777777" w:rsidTr="009976B9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BFEC65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DCBD19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4F6332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9D130F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DF1127F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5F7497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D08B8C4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A53756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74882BC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</w:tr>
      <w:tr w:rsidR="009976B9" w:rsidRPr="009976B9" w14:paraId="280F5BD5" w14:textId="77777777" w:rsidTr="009976B9">
        <w:trPr>
          <w:trHeight w:val="300"/>
        </w:trPr>
        <w:tc>
          <w:tcPr>
            <w:tcW w:w="202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A92B36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EBA3F0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199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FD088D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Дата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3DE54F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92EA9C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3F0D28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E890FF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Дата</w:t>
            </w:r>
          </w:p>
        </w:tc>
      </w:tr>
      <w:tr w:rsidR="009976B9" w:rsidRPr="009976B9" w14:paraId="41F2B7E5" w14:textId="77777777" w:rsidTr="009976B9">
        <w:trPr>
          <w:trHeight w:val="1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42C202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19B971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EC017D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01DF4B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E013A4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5E5ACA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CDB38E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6DFC97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801AED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95E06C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CF5F68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8C0042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</w:tr>
      <w:tr w:rsidR="009976B9" w:rsidRPr="009976B9" w14:paraId="07617E08" w14:textId="77777777" w:rsidTr="009976B9">
        <w:trPr>
          <w:trHeight w:val="6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85B6D1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C3359B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EC78A9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DDE740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BFD65D4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85F36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4A99BB8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C7BA7D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E49FC51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</w:tr>
      <w:tr w:rsidR="009976B9" w:rsidRPr="009976B9" w14:paraId="0C6BB264" w14:textId="77777777" w:rsidTr="009976B9">
        <w:trPr>
          <w:trHeight w:val="300"/>
        </w:trPr>
        <w:tc>
          <w:tcPr>
            <w:tcW w:w="202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2C9AC6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Подпись покупателя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3A7BAA" w14:textId="77777777" w:rsidR="009976B9" w:rsidRPr="009976B9" w:rsidRDefault="009976B9" w:rsidP="009976B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ru"/>
              </w:rPr>
              <w:t> </w:t>
            </w:r>
          </w:p>
        </w:tc>
        <w:tc>
          <w:tcPr>
            <w:tcW w:w="199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A70B84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Подпись плательщика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7189DE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C2C4FD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Подпись руководителя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0C18B9" w14:textId="77777777" w:rsidR="009976B9" w:rsidRPr="009976B9" w:rsidRDefault="009976B9" w:rsidP="009976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1D1999" w14:textId="77777777" w:rsidR="009976B9" w:rsidRPr="009976B9" w:rsidRDefault="009976B9" w:rsidP="009976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"/>
              </w:rPr>
              <w:t>Подпись утверждающего лица</w:t>
            </w:r>
          </w:p>
        </w:tc>
      </w:tr>
    </w:tbl>
    <w:p w14:paraId="5A700E09" w14:textId="77777777" w:rsidR="009976B9" w:rsidRPr="00BD5A70" w:rsidRDefault="009976B9" w:rsidP="00243985">
      <w:pPr>
        <w:rPr>
          <w:rFonts w:cs="Arial"/>
        </w:rPr>
      </w:pPr>
    </w:p>
    <w:p w14:paraId="29670986" w14:textId="77777777" w:rsidR="00536B73" w:rsidRPr="00BD5A70" w:rsidRDefault="00536B73" w:rsidP="006D0478">
      <w:pPr>
        <w:tabs>
          <w:tab w:val="left" w:pos="0"/>
        </w:tabs>
        <w:rPr>
          <w:rFonts w:cs="Arial"/>
        </w:rPr>
      </w:pPr>
    </w:p>
    <w:sectPr w:rsidR="00536B73" w:rsidRPr="00BD5A70" w:rsidSect="000672D9">
      <w:footerReference w:type="even" r:id="rId11"/>
      <w:footerReference w:type="default" r:id="rId1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86CA" w14:textId="77777777" w:rsidR="00993016" w:rsidRDefault="00993016">
      <w:r>
        <w:separator/>
      </w:r>
    </w:p>
  </w:endnote>
  <w:endnote w:type="continuationSeparator" w:id="0">
    <w:p w14:paraId="2F805C0C" w14:textId="77777777" w:rsidR="00993016" w:rsidRDefault="0099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88546819"/>
      <w:docPartObj>
        <w:docPartGallery w:val="Page Numbers (Bottom of Page)"/>
        <w:docPartUnique/>
      </w:docPartObj>
    </w:sdtPr>
    <w:sdtContent>
      <w:p w14:paraId="0516D8A4" w14:textId="0243C804" w:rsidR="000672D9" w:rsidRDefault="000672D9" w:rsidP="00D75C2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  <w:lang w:val="ru"/>
          </w:rPr>
          <w:fldChar w:fldCharType="begin"/>
        </w:r>
        <w:r>
          <w:rPr>
            <w:rStyle w:val="Numeropagina"/>
            <w:lang w:val="ru"/>
          </w:rPr>
          <w:instrText xml:space="preserve"> PAGE </w:instrText>
        </w:r>
        <w:r>
          <w:rPr>
            <w:rStyle w:val="Numeropagina"/>
            <w:lang w:val="ru"/>
          </w:rPr>
          <w:fldChar w:fldCharType="end"/>
        </w:r>
      </w:p>
    </w:sdtContent>
  </w:sdt>
  <w:p w14:paraId="7A9CBE00" w14:textId="77777777" w:rsidR="000672D9" w:rsidRDefault="000672D9" w:rsidP="000672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848859021"/>
      <w:docPartObj>
        <w:docPartGallery w:val="Page Numbers (Bottom of Page)"/>
        <w:docPartUnique/>
      </w:docPartObj>
    </w:sdtPr>
    <w:sdtContent>
      <w:p w14:paraId="0D553A3A" w14:textId="11160FA9" w:rsidR="000672D9" w:rsidRDefault="000672D9" w:rsidP="00D75C2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  <w:lang w:val="ru"/>
          </w:rPr>
          <w:fldChar w:fldCharType="begin"/>
        </w:r>
        <w:r>
          <w:rPr>
            <w:rStyle w:val="Numeropagina"/>
            <w:lang w:val="ru"/>
          </w:rPr>
          <w:instrText xml:space="preserve"> PAGE </w:instrText>
        </w:r>
        <w:r>
          <w:rPr>
            <w:rStyle w:val="Numeropagina"/>
            <w:lang w:val="ru"/>
          </w:rPr>
          <w:fldChar w:fldCharType="separate"/>
        </w:r>
        <w:r>
          <w:rPr>
            <w:rStyle w:val="Numeropagina"/>
            <w:noProof/>
            <w:lang w:val="ru"/>
          </w:rPr>
          <w:t>1</w:t>
        </w:r>
        <w:r>
          <w:rPr>
            <w:rStyle w:val="Numeropagina"/>
            <w:lang w:val="ru"/>
          </w:rPr>
          <w:fldChar w:fldCharType="end"/>
        </w:r>
      </w:p>
    </w:sdtContent>
  </w:sdt>
  <w:p w14:paraId="36B9E772" w14:textId="435B87A0" w:rsidR="007A1E20" w:rsidRPr="008137D2" w:rsidRDefault="007A1E20" w:rsidP="000672D9">
    <w:pPr>
      <w:pStyle w:val="Pidipagina"/>
      <w:tabs>
        <w:tab w:val="clear" w:pos="9072"/>
      </w:tabs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4654" w14:textId="77777777" w:rsidR="00993016" w:rsidRDefault="00993016">
      <w:r>
        <w:separator/>
      </w:r>
    </w:p>
  </w:footnote>
  <w:footnote w:type="continuationSeparator" w:id="0">
    <w:p w14:paraId="112C4519" w14:textId="77777777" w:rsidR="00993016" w:rsidRDefault="0099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5234"/>
    <w:multiLevelType w:val="hybridMultilevel"/>
    <w:tmpl w:val="3A54FA86"/>
    <w:lvl w:ilvl="0" w:tplc="CCFEDEAE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75D1F"/>
    <w:multiLevelType w:val="multilevel"/>
    <w:tmpl w:val="866E9B6C"/>
    <w:lvl w:ilvl="0">
      <w:start w:val="1"/>
      <w:numFmt w:val="decimal"/>
      <w:pStyle w:val="Titolo3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Titolo4"/>
      <w:lvlText w:val="%1.%2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41191BDD"/>
    <w:multiLevelType w:val="hybridMultilevel"/>
    <w:tmpl w:val="62B09848"/>
    <w:lvl w:ilvl="0" w:tplc="971CBA0A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27282"/>
    <w:multiLevelType w:val="hybridMultilevel"/>
    <w:tmpl w:val="427051E4"/>
    <w:lvl w:ilvl="0" w:tplc="61B25BC6">
      <w:start w:val="24"/>
      <w:numFmt w:val="bullet"/>
      <w:lvlText w:val="-"/>
      <w:lvlJc w:val="left"/>
      <w:pPr>
        <w:ind w:left="448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 w16cid:durableId="765157403">
    <w:abstractNumId w:val="1"/>
  </w:num>
  <w:num w:numId="2" w16cid:durableId="1537617724">
    <w:abstractNumId w:val="2"/>
  </w:num>
  <w:num w:numId="3" w16cid:durableId="2065059985">
    <w:abstractNumId w:val="0"/>
  </w:num>
  <w:num w:numId="4" w16cid:durableId="929237471">
    <w:abstractNumId w:val="3"/>
  </w:num>
  <w:num w:numId="5" w16cid:durableId="1653176959">
    <w:abstractNumId w:val="1"/>
  </w:num>
  <w:num w:numId="6" w16cid:durableId="1714426835">
    <w:abstractNumId w:val="1"/>
  </w:num>
  <w:num w:numId="7" w16cid:durableId="536545676">
    <w:abstractNumId w:val="1"/>
  </w:num>
  <w:num w:numId="8" w16cid:durableId="649140407">
    <w:abstractNumId w:val="1"/>
  </w:num>
  <w:num w:numId="9" w16cid:durableId="739210756">
    <w:abstractNumId w:val="1"/>
  </w:num>
  <w:num w:numId="10" w16cid:durableId="175061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237"/>
    <w:rsid w:val="00006949"/>
    <w:rsid w:val="000672D9"/>
    <w:rsid w:val="000C7445"/>
    <w:rsid w:val="00116259"/>
    <w:rsid w:val="0013703F"/>
    <w:rsid w:val="00141C22"/>
    <w:rsid w:val="001C4CE8"/>
    <w:rsid w:val="001F1948"/>
    <w:rsid w:val="00243985"/>
    <w:rsid w:val="00255945"/>
    <w:rsid w:val="002C3DCF"/>
    <w:rsid w:val="003413CA"/>
    <w:rsid w:val="003B25AA"/>
    <w:rsid w:val="003D653F"/>
    <w:rsid w:val="003D6BD8"/>
    <w:rsid w:val="004942A4"/>
    <w:rsid w:val="004A0794"/>
    <w:rsid w:val="004F7E25"/>
    <w:rsid w:val="00531AA7"/>
    <w:rsid w:val="00536B73"/>
    <w:rsid w:val="005836E3"/>
    <w:rsid w:val="0060433C"/>
    <w:rsid w:val="0061575A"/>
    <w:rsid w:val="00634394"/>
    <w:rsid w:val="006805B1"/>
    <w:rsid w:val="0068102F"/>
    <w:rsid w:val="00684FEA"/>
    <w:rsid w:val="006C14F9"/>
    <w:rsid w:val="006D0478"/>
    <w:rsid w:val="006E7CDE"/>
    <w:rsid w:val="007025DF"/>
    <w:rsid w:val="00720F99"/>
    <w:rsid w:val="007A1E20"/>
    <w:rsid w:val="007A4A30"/>
    <w:rsid w:val="007F5812"/>
    <w:rsid w:val="008137D2"/>
    <w:rsid w:val="00845EEC"/>
    <w:rsid w:val="00862088"/>
    <w:rsid w:val="0088687E"/>
    <w:rsid w:val="008963EF"/>
    <w:rsid w:val="00965CC6"/>
    <w:rsid w:val="009731BE"/>
    <w:rsid w:val="009818A6"/>
    <w:rsid w:val="00993016"/>
    <w:rsid w:val="00996BE0"/>
    <w:rsid w:val="00996DAA"/>
    <w:rsid w:val="009976B9"/>
    <w:rsid w:val="009E2E2A"/>
    <w:rsid w:val="009F0321"/>
    <w:rsid w:val="00A40236"/>
    <w:rsid w:val="00A466AE"/>
    <w:rsid w:val="00A60BE6"/>
    <w:rsid w:val="00AC4E6B"/>
    <w:rsid w:val="00AD0C31"/>
    <w:rsid w:val="00AF29BC"/>
    <w:rsid w:val="00AF40F6"/>
    <w:rsid w:val="00B22C35"/>
    <w:rsid w:val="00B2339D"/>
    <w:rsid w:val="00B4235C"/>
    <w:rsid w:val="00BB5F75"/>
    <w:rsid w:val="00BD5A70"/>
    <w:rsid w:val="00C14A7F"/>
    <w:rsid w:val="00C17FB4"/>
    <w:rsid w:val="00C720B6"/>
    <w:rsid w:val="00C90CEB"/>
    <w:rsid w:val="00CB1BC7"/>
    <w:rsid w:val="00CD7F1D"/>
    <w:rsid w:val="00CF24A9"/>
    <w:rsid w:val="00D41628"/>
    <w:rsid w:val="00DC7663"/>
    <w:rsid w:val="00E10D5A"/>
    <w:rsid w:val="00E125C8"/>
    <w:rsid w:val="00F065D3"/>
    <w:rsid w:val="00F12FB3"/>
    <w:rsid w:val="00F263BC"/>
    <w:rsid w:val="00F419F1"/>
    <w:rsid w:val="00F52430"/>
    <w:rsid w:val="00FA3326"/>
    <w:rsid w:val="00FA7C3D"/>
    <w:rsid w:val="00FD09C4"/>
    <w:rsid w:val="00FD6B17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F746F2"/>
  <w15:docId w15:val="{3751FA9E-1753-8D41-8E4E-67C28E53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D5A70"/>
    <w:rPr>
      <w:rFonts w:ascii="Arial" w:hAnsi="Arial"/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rsid w:val="00BD5A70"/>
    <w:pPr>
      <w:keepNext/>
      <w:spacing w:before="240" w:after="60"/>
      <w:jc w:val="center"/>
      <w:outlineLvl w:val="0"/>
    </w:pPr>
    <w:rPr>
      <w:rFonts w:cs="Arial"/>
      <w:b/>
      <w:bCs/>
      <w:spacing w:val="40"/>
      <w:kern w:val="32"/>
      <w:sz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2">
    <w:name w:val="heading 2"/>
    <w:basedOn w:val="Normale"/>
    <w:next w:val="Normale"/>
    <w:qFormat/>
    <w:pPr>
      <w:keepNext/>
      <w:spacing w:before="240" w:after="60"/>
      <w:jc w:val="center"/>
      <w:outlineLvl w:val="1"/>
    </w:pPr>
    <w:rPr>
      <w:rFonts w:cs="Arial"/>
      <w:b/>
      <w:bCs/>
      <w:sz w:val="32"/>
      <w:szCs w:val="28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numId w:val="1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3"/>
    </w:pPr>
    <w:rPr>
      <w:b/>
      <w:bCs/>
      <w:i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pBdr>
        <w:top w:val="single" w:sz="4" w:space="1" w:color="808080"/>
      </w:pBdr>
      <w:tabs>
        <w:tab w:val="center" w:pos="4536"/>
        <w:tab w:val="right" w:pos="9072"/>
      </w:tabs>
      <w:jc w:val="right"/>
    </w:pPr>
    <w:rPr>
      <w:color w:val="808080"/>
      <w:sz w:val="20"/>
      <w:lang w:val="fr-FR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rsid w:val="00536B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36B73"/>
    <w:rPr>
      <w:rFonts w:ascii="Tahoma" w:hAnsi="Tahoma" w:cs="Tahoma"/>
      <w:sz w:val="16"/>
      <w:szCs w:val="16"/>
      <w:lang w:val="en-GB" w:eastAsia="en-US"/>
    </w:rPr>
  </w:style>
  <w:style w:type="table" w:styleId="Grigliatabella">
    <w:name w:val="Table Grid"/>
    <w:basedOn w:val="Tabellanormale"/>
    <w:rsid w:val="00CB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996DAA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kern w:val="0"/>
      <w:sz w:val="28"/>
      <w:szCs w:val="28"/>
      <w:lang w:val="fr-FR" w:eastAsia="fr-FR"/>
      <w14:shadow w14:blurRad="0" w14:dist="0" w14:dir="0" w14:sx="0" w14:sy="0" w14:kx="0" w14:ky="0" w14:algn="none">
        <w14:srgbClr w14:val="000000"/>
      </w14:shadow>
    </w:rPr>
  </w:style>
  <w:style w:type="paragraph" w:styleId="Sommario3">
    <w:name w:val="toc 3"/>
    <w:basedOn w:val="Normale"/>
    <w:next w:val="Normale"/>
    <w:autoRedefine/>
    <w:uiPriority w:val="39"/>
    <w:rsid w:val="00996DAA"/>
    <w:pPr>
      <w:spacing w:after="100"/>
      <w:ind w:left="480"/>
    </w:pPr>
  </w:style>
  <w:style w:type="character" w:styleId="Collegamentoipertestuale">
    <w:name w:val="Hyperlink"/>
    <w:basedOn w:val="Carpredefinitoparagrafo"/>
    <w:uiPriority w:val="99"/>
    <w:unhideWhenUsed/>
    <w:rsid w:val="00996DAA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rsid w:val="00996DA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rsid w:val="00996DAA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CEB65-7462-4928-B06C-C5739A1952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277BE1-A5D4-4F3F-A0B3-39256F808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4061E1-6C60-4EC6-9EE1-2A9C791D3F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D3D604-9A5E-4B0C-8F1F-411CDE2628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738</Words>
  <Characters>4211</Characters>
  <Application>Microsoft Office Word</Application>
  <DocSecurity>0</DocSecurity>
  <Lines>35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TENDER REPORT</vt:lpstr>
      <vt:lpstr>EVALUATION REPORT</vt:lpstr>
      <vt:lpstr>EVALUATION REPORT</vt:lpstr>
    </vt:vector>
  </TitlesOfParts>
  <Manager/>
  <Company/>
  <LinksUpToDate>false</LinksUpToDate>
  <CharactersWithSpaces>4940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REPORT</dc:title>
  <dc:subject/>
  <dc:creator/>
  <cp:keywords/>
  <dc:description/>
  <cp:lastModifiedBy>Rocco Pellegrino</cp:lastModifiedBy>
  <cp:revision>16</cp:revision>
  <cp:lastPrinted>2014-06-11T13:00:00Z</cp:lastPrinted>
  <dcterms:created xsi:type="dcterms:W3CDTF">2014-06-11T13:00:00Z</dcterms:created>
  <dcterms:modified xsi:type="dcterms:W3CDTF">2023-03-20T10:33:00Z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