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1134"/>
        <w:gridCol w:w="4253"/>
      </w:tblGrid>
      <w:tr w:rsidR="0021524C" w:rsidRPr="00030F5E" w14:paraId="10C593F3" w14:textId="1ED09BD7" w:rsidTr="00030F5E">
        <w:tc>
          <w:tcPr>
            <w:tcW w:w="3119" w:type="dxa"/>
          </w:tcPr>
          <w:p w14:paraId="46EE9AB1" w14:textId="12854F5F" w:rsidR="0021524C" w:rsidRPr="00030F5E" w:rsidRDefault="0021524C" w:rsidP="0021524C">
            <w:pPr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رقم/لوحة المركبة: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AB1598F" w14:textId="77777777" w:rsidR="0021524C" w:rsidRPr="00030F5E" w:rsidRDefault="002152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EB4473" w14:textId="77375E25" w:rsidR="0021524C" w:rsidRPr="00030F5E" w:rsidRDefault="0021524C" w:rsidP="0021524C">
            <w:pPr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التاريخ: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F73988" w14:textId="77777777" w:rsidR="0021524C" w:rsidRPr="00030F5E" w:rsidRDefault="0021524C">
            <w:pPr>
              <w:rPr>
                <w:rFonts w:ascii="Arial" w:hAnsi="Arial" w:cs="Arial"/>
              </w:rPr>
            </w:pPr>
          </w:p>
        </w:tc>
      </w:tr>
    </w:tbl>
    <w:p w14:paraId="7B31E027" w14:textId="43C7BBCE" w:rsidR="0021524C" w:rsidRPr="00030F5E" w:rsidRDefault="0021524C">
      <w:pPr>
        <w:rPr>
          <w:rFonts w:ascii="Arial" w:hAnsi="Arial" w:cs="Arial"/>
          <w:sz w:val="8"/>
          <w:szCs w:val="8"/>
        </w:rPr>
      </w:pPr>
    </w:p>
    <w:tbl>
      <w:tblPr>
        <w:bidiVisual/>
        <w:tblW w:w="142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1276"/>
        <w:gridCol w:w="7371"/>
      </w:tblGrid>
      <w:tr w:rsidR="0021524C" w:rsidRPr="00030F5E" w14:paraId="612CC032" w14:textId="77777777" w:rsidTr="004D56DF">
        <w:trPr>
          <w:trHeight w:hRule="exact" w:val="40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2C08E6" w14:textId="2328B292" w:rsidR="0021524C" w:rsidRPr="00030F5E" w:rsidRDefault="0021524C" w:rsidP="00662F4A">
            <w:pPr>
              <w:pStyle w:val="Titolo6"/>
              <w:bidi/>
              <w:jc w:val="center"/>
              <w:rPr>
                <w:rFonts w:ascii="Arial" w:hAnsi="Arial" w:cs="Arial"/>
                <w:b/>
                <w:bCs/>
                <w:noProof/>
                <w:color w:val="auto"/>
                <w:szCs w:val="15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15"/>
                <w:rtl/>
                <w:lang w:bidi="ar"/>
              </w:rPr>
              <w:t>خدمة صغيرة "أ"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5E4A41" w14:textId="78953FDA" w:rsidR="0021524C" w:rsidRPr="00030F5E" w:rsidRDefault="0021524C" w:rsidP="00662F4A">
            <w:pPr>
              <w:pStyle w:val="Titolo6"/>
              <w:bidi/>
              <w:jc w:val="center"/>
              <w:rPr>
                <w:rFonts w:ascii="Arial" w:hAnsi="Arial" w:cs="Arial"/>
                <w:b/>
                <w:bCs/>
                <w:noProof/>
                <w:color w:val="auto"/>
                <w:szCs w:val="15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15"/>
                <w:rtl/>
                <w:lang w:bidi="ar"/>
              </w:rPr>
              <w:t>كيلومترات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6D3F94" w14:textId="3A85CAEE" w:rsidR="0021524C" w:rsidRPr="00030F5E" w:rsidRDefault="0021524C" w:rsidP="00A035C2">
            <w:pPr>
              <w:pStyle w:val="Titolo6"/>
              <w:bidi/>
              <w:jc w:val="center"/>
              <w:rPr>
                <w:rFonts w:ascii="Arial" w:hAnsi="Arial" w:cs="Arial"/>
                <w:b/>
                <w:bCs/>
                <w:noProof/>
                <w:color w:val="auto"/>
                <w:szCs w:val="15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15"/>
                <w:rtl/>
                <w:lang w:bidi="ar"/>
              </w:rPr>
              <w:t>تفاصيل الصيانة - ملاحظات - الأمور التي يجب القيام بها</w:t>
            </w:r>
          </w:p>
        </w:tc>
      </w:tr>
      <w:tr w:rsidR="0021524C" w:rsidRPr="00030F5E" w14:paraId="6E7A09F5" w14:textId="77777777" w:rsidTr="004D56DF">
        <w:trPr>
          <w:trHeight w:hRule="exact" w:val="412"/>
        </w:trPr>
        <w:tc>
          <w:tcPr>
            <w:tcW w:w="5628" w:type="dxa"/>
            <w:tcBorders>
              <w:top w:val="single" w:sz="4" w:space="0" w:color="auto"/>
              <w:bottom w:val="dotted" w:sz="4" w:space="0" w:color="auto"/>
            </w:tcBorders>
          </w:tcPr>
          <w:p w14:paraId="2A5E95DD" w14:textId="360AD4C7" w:rsidR="0021524C" w:rsidRPr="00030F5E" w:rsidRDefault="0021524C" w:rsidP="0021524C">
            <w:pPr>
              <w:tabs>
                <w:tab w:val="left" w:pos="567"/>
              </w:tabs>
              <w:bidi/>
              <w:ind w:left="462" w:hanging="425"/>
              <w:rPr>
                <w:rFonts w:ascii="Arial" w:hAnsi="Arial" w:cs="Arial"/>
                <w:noProof/>
                <w:sz w:val="24"/>
                <w:szCs w:val="15"/>
              </w:rPr>
            </w:pPr>
            <w:r>
              <w:rPr>
                <w:rFonts w:ascii="Arial" w:hAnsi="Arial" w:cs="Arial"/>
                <w:noProof/>
                <w:sz w:val="24"/>
                <w:szCs w:val="15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  <w:rtl/>
                <w:lang w:bidi="ar"/>
              </w:rPr>
              <w:t>نظف المحرك.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A80965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dotted" w:sz="4" w:space="0" w:color="auto"/>
            </w:tcBorders>
          </w:tcPr>
          <w:p w14:paraId="0E7D0D75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0322BEBF" w14:textId="77777777" w:rsidTr="004D56DF">
        <w:trPr>
          <w:trHeight w:hRule="exact" w:val="427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8BC067B" w14:textId="6D6B947B" w:rsidR="0021524C" w:rsidRPr="00030F5E" w:rsidRDefault="0021524C" w:rsidP="0021524C">
            <w:pPr>
              <w:tabs>
                <w:tab w:val="left" w:pos="567"/>
              </w:tabs>
              <w:bidi/>
              <w:ind w:left="462" w:hanging="425"/>
              <w:rPr>
                <w:rFonts w:ascii="Arial" w:hAnsi="Arial" w:cs="Arial"/>
                <w:noProof/>
                <w:sz w:val="24"/>
                <w:szCs w:val="15"/>
              </w:rPr>
            </w:pPr>
            <w:r>
              <w:rPr>
                <w:rFonts w:ascii="Arial" w:hAnsi="Arial" w:cs="Arial"/>
                <w:noProof/>
                <w:sz w:val="24"/>
                <w:szCs w:val="15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  <w:rtl/>
                <w:lang w:bidi="ar"/>
              </w:rPr>
              <w:t>غير زيت المحرك.</w:t>
            </w:r>
          </w:p>
          <w:p w14:paraId="10519506" w14:textId="77777777" w:rsidR="0021524C" w:rsidRPr="00030F5E" w:rsidRDefault="0021524C" w:rsidP="0021524C">
            <w:pPr>
              <w:ind w:left="462" w:hanging="425"/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4CEAFB8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2837E396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3BC6519C" w14:textId="77777777" w:rsidTr="004D56DF">
        <w:trPr>
          <w:trHeight w:hRule="exact" w:val="400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7DB01132" w14:textId="6A02024E" w:rsidR="0021524C" w:rsidRPr="00030F5E" w:rsidRDefault="0021524C" w:rsidP="0021524C">
            <w:pPr>
              <w:tabs>
                <w:tab w:val="left" w:pos="567"/>
              </w:tabs>
              <w:bidi/>
              <w:ind w:left="462" w:hanging="425"/>
              <w:rPr>
                <w:rFonts w:ascii="Arial" w:hAnsi="Arial" w:cs="Arial"/>
                <w:noProof/>
                <w:sz w:val="24"/>
                <w:szCs w:val="15"/>
              </w:rPr>
            </w:pPr>
            <w:r>
              <w:rPr>
                <w:rFonts w:ascii="Arial" w:hAnsi="Arial" w:cs="Arial"/>
                <w:noProof/>
                <w:sz w:val="24"/>
                <w:szCs w:val="15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  <w:rtl/>
                <w:lang w:bidi="ar"/>
              </w:rPr>
              <w:t>نظف وصرف فاصل المياه.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690A479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560292CB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7EF8F210" w14:textId="77777777" w:rsidTr="004D56DF">
        <w:trPr>
          <w:trHeight w:hRule="exact" w:val="400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8E86F01" w14:textId="0115D339" w:rsidR="0021524C" w:rsidRPr="00030F5E" w:rsidRDefault="0021524C" w:rsidP="0021524C">
            <w:pPr>
              <w:tabs>
                <w:tab w:val="left" w:pos="567"/>
              </w:tabs>
              <w:bidi/>
              <w:ind w:left="462" w:hanging="425"/>
              <w:rPr>
                <w:rFonts w:ascii="Arial" w:hAnsi="Arial" w:cs="Arial"/>
                <w:noProof/>
                <w:sz w:val="24"/>
                <w:szCs w:val="15"/>
              </w:rPr>
            </w:pPr>
            <w:r>
              <w:rPr>
                <w:rFonts w:ascii="Arial" w:hAnsi="Arial" w:cs="Arial"/>
                <w:noProof/>
                <w:sz w:val="24"/>
                <w:szCs w:val="15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  <w:rtl/>
                <w:lang w:bidi="ar"/>
              </w:rPr>
              <w:t>نظف جهاز تنقية الهواء.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7F7591F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2722D959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1329B987" w14:textId="77777777" w:rsidTr="004D56DF">
        <w:trPr>
          <w:trHeight w:hRule="exact" w:val="712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757B19F" w14:textId="063CEF6B" w:rsidR="0021524C" w:rsidRPr="00030F5E" w:rsidRDefault="0021524C" w:rsidP="004D56DF">
            <w:pPr>
              <w:tabs>
                <w:tab w:val="left" w:pos="360"/>
                <w:tab w:val="left" w:pos="567"/>
              </w:tabs>
              <w:bidi/>
              <w:ind w:left="462" w:hanging="425"/>
              <w:rPr>
                <w:rFonts w:ascii="Arial" w:hAnsi="Arial" w:cs="Arial"/>
                <w:noProof/>
                <w:sz w:val="24"/>
                <w:szCs w:val="15"/>
              </w:rPr>
            </w:pPr>
            <w:r>
              <w:rPr>
                <w:rFonts w:ascii="Arial" w:hAnsi="Arial" w:cs="Arial"/>
                <w:noProof/>
                <w:sz w:val="24"/>
                <w:szCs w:val="15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  <w:rtl/>
                <w:lang w:bidi="ar"/>
              </w:rPr>
              <w:t>تحقق من مستوى الزيت: علبة التروس، صندوق النقل، المحاور (في حالة اختلاط الماء، قم بتغيير الزيت).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A461E6B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5F09B9CC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527E79A4" w14:textId="77777777" w:rsidTr="004D56DF">
        <w:trPr>
          <w:trHeight w:hRule="exact" w:val="600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01CAFADC" w14:textId="506002F5" w:rsidR="0021524C" w:rsidRPr="00030F5E" w:rsidRDefault="0021524C" w:rsidP="0021524C">
            <w:pPr>
              <w:tabs>
                <w:tab w:val="left" w:pos="567"/>
              </w:tabs>
              <w:bidi/>
              <w:ind w:left="462" w:hanging="425"/>
              <w:rPr>
                <w:rFonts w:ascii="Arial" w:hAnsi="Arial" w:cs="Arial"/>
                <w:noProof/>
                <w:sz w:val="24"/>
                <w:szCs w:val="15"/>
              </w:rPr>
            </w:pPr>
            <w:r>
              <w:rPr>
                <w:rFonts w:ascii="Arial" w:hAnsi="Arial" w:cs="Arial"/>
                <w:noProof/>
                <w:sz w:val="24"/>
                <w:szCs w:val="15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  <w:rtl/>
                <w:lang w:bidi="ar"/>
              </w:rPr>
              <w:t>نضف وصلة التنفيس المحورية والخرطوم.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3066B1D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848234A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71018435" w14:textId="77777777" w:rsidTr="004D56DF">
        <w:trPr>
          <w:trHeight w:hRule="exact" w:val="592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D55D83" w14:textId="53CB78FB" w:rsidR="0021524C" w:rsidRPr="00030F5E" w:rsidRDefault="0021524C" w:rsidP="0021524C">
            <w:pPr>
              <w:tabs>
                <w:tab w:val="left" w:pos="360"/>
                <w:tab w:val="left" w:pos="567"/>
              </w:tabs>
              <w:bidi/>
              <w:ind w:left="462" w:hanging="425"/>
              <w:rPr>
                <w:rFonts w:ascii="Arial" w:hAnsi="Arial" w:cs="Arial"/>
                <w:noProof/>
                <w:sz w:val="24"/>
                <w:szCs w:val="15"/>
              </w:rPr>
            </w:pPr>
            <w:r>
              <w:rPr>
                <w:rFonts w:ascii="Arial" w:hAnsi="Arial" w:cs="Arial"/>
                <w:noProof/>
                <w:sz w:val="24"/>
                <w:szCs w:val="15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  <w:rtl/>
                <w:lang w:bidi="ar"/>
              </w:rPr>
              <w:t xml:space="preserve">قم بتشحيم ناقل الحركة (8 حلمات) ونظام التوجيه.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E7147E1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4ADF3BAF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75C26F5F" w14:textId="77777777" w:rsidTr="004D56DF">
        <w:trPr>
          <w:trHeight w:hRule="exact" w:val="896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FC21A0" w14:textId="7CE12E1C" w:rsidR="0021524C" w:rsidRPr="00030F5E" w:rsidRDefault="0021524C" w:rsidP="0021524C">
            <w:pPr>
              <w:tabs>
                <w:tab w:val="left" w:pos="360"/>
              </w:tabs>
              <w:bidi/>
              <w:ind w:left="462" w:hanging="425"/>
              <w:rPr>
                <w:rFonts w:ascii="Arial" w:hAnsi="Arial" w:cs="Arial"/>
                <w:noProof/>
                <w:sz w:val="24"/>
                <w:szCs w:val="15"/>
              </w:rPr>
            </w:pPr>
            <w:r>
              <w:rPr>
                <w:rFonts w:ascii="Arial" w:hAnsi="Arial" w:cs="Arial"/>
                <w:noProof/>
                <w:sz w:val="24"/>
                <w:szCs w:val="15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  <w:rtl/>
                <w:lang w:bidi="ar"/>
              </w:rPr>
              <w:t>تحقق من حالة التعليق: عوازل (شجيرات مطاطية)، شفرات زنبركية وممتص الصدمات.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DA2DC46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6BE971DF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0986FDAB" w14:textId="77777777" w:rsidTr="004D56DF">
        <w:trPr>
          <w:trHeight w:hRule="exact" w:val="710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2355DE83" w14:textId="1D7BF07E" w:rsidR="0021524C" w:rsidRPr="00030F5E" w:rsidRDefault="0021524C" w:rsidP="004D56DF">
            <w:pPr>
              <w:tabs>
                <w:tab w:val="left" w:pos="567"/>
              </w:tabs>
              <w:bidi/>
              <w:ind w:left="462" w:hanging="425"/>
              <w:rPr>
                <w:rFonts w:ascii="Arial" w:hAnsi="Arial" w:cs="Arial"/>
                <w:noProof/>
                <w:sz w:val="24"/>
                <w:szCs w:val="15"/>
              </w:rPr>
            </w:pPr>
            <w:r>
              <w:rPr>
                <w:rFonts w:ascii="Arial" w:hAnsi="Arial" w:cs="Arial"/>
                <w:noProof/>
                <w:sz w:val="24"/>
                <w:szCs w:val="15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  <w:rtl/>
                <w:lang w:bidi="ar"/>
              </w:rPr>
              <w:t>تحقق من حالة حوامل المحرك الخلفية والأمامية.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0460927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9D9F48A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492B0258" w14:textId="77777777" w:rsidTr="004D56DF">
        <w:trPr>
          <w:trHeight w:hRule="exact" w:val="708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23847F3" w14:textId="7F7D37BF" w:rsidR="0021524C" w:rsidRPr="00030F5E" w:rsidRDefault="0021524C" w:rsidP="004D56DF">
            <w:pPr>
              <w:tabs>
                <w:tab w:val="left" w:pos="567"/>
              </w:tabs>
              <w:bidi/>
              <w:ind w:left="462" w:hanging="425"/>
              <w:rPr>
                <w:rFonts w:ascii="Arial" w:hAnsi="Arial" w:cs="Arial"/>
                <w:noProof/>
                <w:sz w:val="24"/>
                <w:szCs w:val="15"/>
              </w:rPr>
            </w:pPr>
            <w:r>
              <w:rPr>
                <w:rFonts w:ascii="Arial" w:hAnsi="Arial" w:cs="Arial"/>
                <w:noProof/>
                <w:sz w:val="24"/>
                <w:szCs w:val="15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  <w:rtl/>
                <w:lang w:bidi="ar"/>
              </w:rPr>
              <w:t>تحقق من حالة أنبوب العادم والمواد العازلة (مثبتات مطاطية).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42D0228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1DB879F2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133BC391" w14:textId="77777777" w:rsidTr="004D56DF">
        <w:trPr>
          <w:trHeight w:hRule="exact" w:val="474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975C4F7" w14:textId="4C5F4A75" w:rsidR="0021524C" w:rsidRPr="00030F5E" w:rsidRDefault="0021524C" w:rsidP="0021524C">
            <w:pPr>
              <w:tabs>
                <w:tab w:val="left" w:pos="567"/>
              </w:tabs>
              <w:bidi/>
              <w:ind w:left="462" w:hanging="425"/>
              <w:rPr>
                <w:rFonts w:ascii="Arial" w:hAnsi="Arial" w:cs="Arial"/>
                <w:noProof/>
                <w:sz w:val="24"/>
                <w:szCs w:val="15"/>
              </w:rPr>
            </w:pPr>
            <w:r>
              <w:rPr>
                <w:rFonts w:ascii="Arial" w:hAnsi="Arial" w:cs="Arial"/>
                <w:noProof/>
                <w:sz w:val="24"/>
                <w:szCs w:val="15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  <w:rtl/>
                <w:lang w:bidi="ar"/>
              </w:rPr>
              <w:t>تحقق من حالة وشد الحزام.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6120775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CB4E82D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46188222" w14:textId="77777777" w:rsidTr="004D56DF">
        <w:trPr>
          <w:trHeight w:hRule="exact" w:val="595"/>
        </w:trPr>
        <w:tc>
          <w:tcPr>
            <w:tcW w:w="5628" w:type="dxa"/>
            <w:tcBorders>
              <w:top w:val="dotted" w:sz="4" w:space="0" w:color="auto"/>
              <w:bottom w:val="single" w:sz="4" w:space="0" w:color="auto"/>
            </w:tcBorders>
          </w:tcPr>
          <w:p w14:paraId="192E6F29" w14:textId="720F91C8" w:rsidR="0021524C" w:rsidRPr="00030F5E" w:rsidRDefault="0021524C" w:rsidP="0021524C">
            <w:pPr>
              <w:tabs>
                <w:tab w:val="left" w:pos="567"/>
              </w:tabs>
              <w:bidi/>
              <w:ind w:left="462" w:hanging="425"/>
              <w:rPr>
                <w:rFonts w:ascii="Arial" w:hAnsi="Arial" w:cs="Arial"/>
                <w:noProof/>
                <w:sz w:val="24"/>
                <w:szCs w:val="15"/>
              </w:rPr>
            </w:pPr>
            <w:r>
              <w:rPr>
                <w:rFonts w:ascii="Arial" w:hAnsi="Arial" w:cs="Arial"/>
                <w:noProof/>
                <w:sz w:val="24"/>
                <w:szCs w:val="15"/>
              </w:rPr>
              <w:sym w:font="Wingdings" w:char="F0A8"/>
            </w:r>
            <w:r>
              <w:rPr>
                <w:rFonts w:ascii="Arial" w:hAnsi="Arial" w:cs="Arial"/>
                <w:noProof/>
                <w:sz w:val="24"/>
                <w:szCs w:val="15"/>
              </w:rPr>
              <w:tab/>
            </w:r>
            <w:r>
              <w:rPr>
                <w:rFonts w:ascii="Arial" w:hAnsi="Arial" w:cs="Arial"/>
                <w:noProof/>
                <w:sz w:val="24"/>
                <w:szCs w:val="15"/>
                <w:rtl/>
                <w:lang w:bidi="ar"/>
              </w:rPr>
              <w:t>تحقق من أضواء التحذير المختلفة للوحة القيادة.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256B26CD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14:paraId="1ABC5513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4EF0AB1A" w14:textId="77777777" w:rsidTr="004D56DF">
        <w:trPr>
          <w:cantSplit/>
          <w:trHeight w:hRule="exact" w:val="921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B7EDC" w14:textId="77777777" w:rsidR="0021524C" w:rsidRPr="004D56DF" w:rsidRDefault="0021524C" w:rsidP="0021524C">
            <w:pPr>
              <w:spacing w:after="0"/>
              <w:rPr>
                <w:rFonts w:ascii="Arial" w:hAnsi="Arial" w:cs="Arial"/>
                <w:noProof/>
                <w:sz w:val="6"/>
                <w:szCs w:val="6"/>
              </w:rPr>
            </w:pPr>
          </w:p>
          <w:tbl>
            <w:tblPr>
              <w:bidiVisual/>
              <w:tblW w:w="0" w:type="auto"/>
              <w:tblInd w:w="17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2"/>
            </w:tblGrid>
            <w:tr w:rsidR="0021524C" w:rsidRPr="00030F5E" w14:paraId="738EB1BE" w14:textId="77777777" w:rsidTr="0021524C">
              <w:trPr>
                <w:trHeight w:hRule="exact" w:val="416"/>
              </w:trPr>
              <w:tc>
                <w:tcPr>
                  <w:tcW w:w="4252" w:type="dxa"/>
                  <w:vAlign w:val="center"/>
                </w:tcPr>
                <w:p w14:paraId="43AA33B6" w14:textId="50F4E825" w:rsidR="0021524C" w:rsidRPr="00030F5E" w:rsidRDefault="0021524C" w:rsidP="0021524C">
                  <w:pPr>
                    <w:bidi/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15"/>
                      <w:rtl/>
                      <w:lang w:bidi="ar"/>
                    </w:rPr>
                    <w:t>مرشح الخدمة التالي «ب» في:</w:t>
                  </w:r>
                </w:p>
              </w:tc>
            </w:tr>
            <w:tr w:rsidR="0021524C" w:rsidRPr="00030F5E" w14:paraId="437F14A4" w14:textId="77777777" w:rsidTr="0021524C">
              <w:trPr>
                <w:trHeight w:hRule="exact" w:val="400"/>
              </w:trPr>
              <w:tc>
                <w:tcPr>
                  <w:tcW w:w="4252" w:type="dxa"/>
                  <w:vAlign w:val="center"/>
                </w:tcPr>
                <w:p w14:paraId="4445C40E" w14:textId="77777777" w:rsidR="0021524C" w:rsidRPr="00030F5E" w:rsidRDefault="0021524C" w:rsidP="0021524C">
                  <w:pPr>
                    <w:pStyle w:val="Titolo5"/>
                    <w:bidi/>
                    <w:spacing w:before="0"/>
                    <w:jc w:val="right"/>
                    <w:rPr>
                      <w:rFonts w:ascii="Arial" w:hAnsi="Arial" w:cs="Arial"/>
                      <w:b/>
                      <w:bCs/>
                      <w:noProof/>
                      <w:color w:val="auto"/>
                      <w:sz w:val="24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auto"/>
                      <w:sz w:val="24"/>
                      <w:szCs w:val="15"/>
                      <w:rtl/>
                      <w:lang w:bidi="ar"/>
                    </w:rPr>
                    <w:t xml:space="preserve">كيلومترات  </w:t>
                  </w:r>
                </w:p>
              </w:tc>
            </w:tr>
          </w:tbl>
          <w:p w14:paraId="35453016" w14:textId="77777777" w:rsidR="0021524C" w:rsidRPr="00030F5E" w:rsidRDefault="0021524C" w:rsidP="0021524C">
            <w:pPr>
              <w:pStyle w:val="Titolo3"/>
              <w:spacing w:before="0"/>
              <w:jc w:val="center"/>
              <w:rPr>
                <w:rFonts w:ascii="Arial" w:hAnsi="Arial" w:cs="Arial"/>
                <w:noProof/>
                <w:szCs w:val="15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75705A1" w14:textId="77777777" w:rsidR="00030F5E" w:rsidRDefault="00030F5E" w:rsidP="0021524C">
            <w:pPr>
              <w:pStyle w:val="Titolo3"/>
              <w:spacing w:before="0"/>
              <w:jc w:val="center"/>
              <w:rPr>
                <w:rFonts w:ascii="Arial" w:hAnsi="Arial" w:cs="Arial"/>
                <w:noProof/>
                <w:color w:val="auto"/>
                <w:szCs w:val="15"/>
              </w:rPr>
            </w:pPr>
          </w:p>
          <w:p w14:paraId="0EA0EEAA" w14:textId="7C729C3D" w:rsidR="0021524C" w:rsidRPr="004D56DF" w:rsidRDefault="0021524C" w:rsidP="004D56DF">
            <w:pPr>
              <w:pStyle w:val="Titolo3"/>
              <w:bidi/>
              <w:spacing w:before="0"/>
              <w:jc w:val="center"/>
              <w:rPr>
                <w:rFonts w:ascii="Arial" w:hAnsi="Arial" w:cs="Arial"/>
                <w:noProof/>
                <w:color w:val="auto"/>
                <w:szCs w:val="15"/>
              </w:rPr>
            </w:pPr>
            <w:r>
              <w:rPr>
                <w:rFonts w:ascii="Arial" w:hAnsi="Arial" w:cs="Arial"/>
                <w:noProof/>
                <w:color w:val="auto"/>
                <w:szCs w:val="15"/>
                <w:rtl/>
                <w:lang w:bidi="ar"/>
              </w:rPr>
              <w:t>ضع ملصقًا يتضمن عدد الأميال للخدمة التالية على لوحة القيادة.</w:t>
            </w:r>
          </w:p>
        </w:tc>
      </w:tr>
    </w:tbl>
    <w:p w14:paraId="171C9605" w14:textId="77777777" w:rsidR="0021524C" w:rsidRPr="00030F5E" w:rsidRDefault="0021524C">
      <w:pPr>
        <w:rPr>
          <w:rFonts w:ascii="Arial" w:hAnsi="Arial" w:cs="Arial"/>
        </w:rPr>
      </w:pPr>
    </w:p>
    <w:sectPr w:rsidR="0021524C" w:rsidRPr="00030F5E" w:rsidSect="004D56DF">
      <w:headerReference w:type="default" r:id="rId9"/>
      <w:pgSz w:w="16838" w:h="11906" w:orient="landscape"/>
      <w:pgMar w:top="1501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5ED1" w14:textId="77777777" w:rsidR="00B70065" w:rsidRDefault="00B70065" w:rsidP="0021524C">
      <w:pPr>
        <w:spacing w:after="0" w:line="240" w:lineRule="auto"/>
      </w:pPr>
      <w:r>
        <w:separator/>
      </w:r>
    </w:p>
  </w:endnote>
  <w:endnote w:type="continuationSeparator" w:id="0">
    <w:p w14:paraId="1D1E7665" w14:textId="77777777" w:rsidR="00B70065" w:rsidRDefault="00B70065" w:rsidP="0021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3E8C" w14:textId="77777777" w:rsidR="00B70065" w:rsidRDefault="00B70065" w:rsidP="0021524C">
      <w:pPr>
        <w:spacing w:after="0" w:line="240" w:lineRule="auto"/>
      </w:pPr>
      <w:r>
        <w:separator/>
      </w:r>
    </w:p>
  </w:footnote>
  <w:footnote w:type="continuationSeparator" w:id="0">
    <w:p w14:paraId="149F92AB" w14:textId="77777777" w:rsidR="00B70065" w:rsidRDefault="00B70065" w:rsidP="0021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AC8F" w14:textId="73D0DA88" w:rsidR="0021524C" w:rsidRPr="00F127E4" w:rsidRDefault="004D56DF" w:rsidP="00F127E4">
    <w:pPr>
      <w:pStyle w:val="Intestazione"/>
      <w:bidi/>
      <w:jc w:val="right"/>
      <w:rPr>
        <w:rFonts w:ascii="Arial" w:hAnsi="Arial" w:cs="Arial"/>
        <w:b/>
        <w:bCs/>
        <w:sz w:val="52"/>
        <w:szCs w:val="52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C823A" wp14:editId="2E1C8BAC">
              <wp:simplePos x="0" y="0"/>
              <wp:positionH relativeFrom="margin">
                <wp:posOffset>6426976</wp:posOffset>
              </wp:positionH>
              <wp:positionV relativeFrom="paragraph">
                <wp:posOffset>-47625</wp:posOffset>
              </wp:positionV>
              <wp:extent cx="2413634" cy="637539"/>
              <wp:effectExtent l="0" t="0" r="25400" b="1079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4" cy="6375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AD66DB" w14:textId="77777777" w:rsidR="004D56DF" w:rsidRDefault="004D56DF" w:rsidP="004D56DF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rtl/>
                              <w:lang w:bidi="ar"/>
                            </w:rPr>
                            <w:t>شعار المنظمة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2E5C823A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506.05pt;margin-top:-3.75pt;width:190.05pt;height:5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" fillcolor="white [3212]" strokecolor="#7f7f7f [1601]">
              <v:textbox inset="0,0,0,0">
                <w:txbxContent>
                  <w:p w14:paraId="17AD66DB" w14:textId="77777777" w:rsidR="004D56DF" w:rsidRDefault="004D56DF" w:rsidP="004D56DF">
                    <w:pPr>
                      <w:bidi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rtl/>
                        <w:lang w:bidi="ar"/>
                      </w:rPr>
                      <w:t>شعار المنظمة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/>
        <w:b/>
        <w:bCs/>
        <w:sz w:val="52"/>
        <w:szCs w:val="52"/>
        <w:rtl/>
        <w:lang w:bidi="ar"/>
      </w:rPr>
      <w:t>سجل صيانة المركبة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C"/>
    <w:rsid w:val="00030F5E"/>
    <w:rsid w:val="0021524C"/>
    <w:rsid w:val="00337702"/>
    <w:rsid w:val="004D56DF"/>
    <w:rsid w:val="007633D2"/>
    <w:rsid w:val="00A035C2"/>
    <w:rsid w:val="00B70065"/>
    <w:rsid w:val="00D0113F"/>
    <w:rsid w:val="00F1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6C40CC"/>
  <w15:chartTrackingRefBased/>
  <w15:docId w15:val="{B9A1C6E7-3C87-4411-B701-FF936D3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24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152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5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52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1524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1524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152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52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524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24C"/>
  </w:style>
  <w:style w:type="paragraph" w:styleId="Pidipagina">
    <w:name w:val="footer"/>
    <w:basedOn w:val="Normale"/>
    <w:link w:val="PidipaginaCarattere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24C"/>
  </w:style>
  <w:style w:type="table" w:styleId="Grigliatabella">
    <w:name w:val="Table Grid"/>
    <w:basedOn w:val="Tabellanormale"/>
    <w:uiPriority w:val="39"/>
    <w:rsid w:val="0021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96C04-637A-4CE5-BFF5-2695A10FEEA3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0C02EE00-0C25-40F5-B2E8-6DBFC5DE6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BA533-408E-4DDA-9FBE-AC1AB0A89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6</cp:revision>
  <dcterms:created xsi:type="dcterms:W3CDTF">2021-03-12T11:17:00Z</dcterms:created>
  <dcterms:modified xsi:type="dcterms:W3CDTF">2023-03-21T17:55:00Z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801200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